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511"/>
        <w:gridCol w:w="5776"/>
      </w:tblGrid>
      <w:tr w:rsidR="006C70BC" w:rsidRPr="006C70BC" w:rsidTr="006C70BC">
        <w:trPr>
          <w:tblCellSpacing w:w="0" w:type="dxa"/>
        </w:trPr>
        <w:tc>
          <w:tcPr>
            <w:tcW w:w="3511" w:type="dxa"/>
            <w:tcMar>
              <w:top w:w="0" w:type="dxa"/>
              <w:left w:w="108" w:type="dxa"/>
              <w:bottom w:w="0" w:type="dxa"/>
              <w:right w:w="108" w:type="dxa"/>
            </w:tcMar>
            <w:hideMark/>
          </w:tcPr>
          <w:p w:rsidR="006C70BC" w:rsidRPr="006C70BC" w:rsidRDefault="006C70BC" w:rsidP="00EB74E8">
            <w:pPr>
              <w:spacing w:before="120" w:after="120" w:line="234" w:lineRule="atLeast"/>
              <w:jc w:val="center"/>
              <w:rPr>
                <w:rFonts w:ascii="Times New Roman" w:eastAsia="Times New Roman" w:hAnsi="Times New Roman" w:cs="Times New Roman"/>
                <w:kern w:val="0"/>
                <w:sz w:val="26"/>
                <w:szCs w:val="26"/>
                <w14:ligatures w14:val="none"/>
              </w:rPr>
            </w:pPr>
            <w:r w:rsidRPr="006C70BC">
              <w:rPr>
                <w:rFonts w:ascii="Times New Roman" w:eastAsia="Times New Roman" w:hAnsi="Times New Roman" w:cs="Times New Roman"/>
                <w:b/>
                <w:bCs/>
                <w:kern w:val="0"/>
                <w:sz w:val="26"/>
                <w:szCs w:val="26"/>
                <w14:ligatures w14:val="none"/>
              </w:rPr>
              <w:t>HỘI ĐỒNG THẨM PHÁN</w:t>
            </w:r>
            <w:r w:rsidRPr="006C70BC">
              <w:rPr>
                <w:rFonts w:ascii="Times New Roman" w:eastAsia="Times New Roman" w:hAnsi="Times New Roman" w:cs="Times New Roman"/>
                <w:b/>
                <w:bCs/>
                <w:kern w:val="0"/>
                <w:sz w:val="26"/>
                <w:szCs w:val="26"/>
                <w14:ligatures w14:val="none"/>
              </w:rPr>
              <w:br/>
              <w:t>TÒA ÁN NHÂN DÂN TỐI CAO</w:t>
            </w:r>
            <w:r w:rsidRPr="006C70BC">
              <w:rPr>
                <w:rFonts w:ascii="Times New Roman" w:eastAsia="Times New Roman" w:hAnsi="Times New Roman" w:cs="Times New Roman"/>
                <w:b/>
                <w:bCs/>
                <w:kern w:val="0"/>
                <w:sz w:val="26"/>
                <w:szCs w:val="26"/>
                <w14:ligatures w14:val="none"/>
              </w:rPr>
              <w:br/>
              <w:t>-------</w:t>
            </w:r>
          </w:p>
        </w:tc>
        <w:tc>
          <w:tcPr>
            <w:tcW w:w="5776" w:type="dxa"/>
            <w:tcMar>
              <w:top w:w="0" w:type="dxa"/>
              <w:left w:w="108" w:type="dxa"/>
              <w:bottom w:w="0" w:type="dxa"/>
              <w:right w:w="108" w:type="dxa"/>
            </w:tcMar>
            <w:hideMark/>
          </w:tcPr>
          <w:p w:rsidR="006C70BC" w:rsidRPr="006C70BC" w:rsidRDefault="006C70BC" w:rsidP="00EB74E8">
            <w:pPr>
              <w:spacing w:before="120" w:after="120" w:line="234" w:lineRule="atLeast"/>
              <w:jc w:val="center"/>
              <w:rPr>
                <w:rFonts w:ascii="Times New Roman" w:eastAsia="Times New Roman" w:hAnsi="Times New Roman" w:cs="Times New Roman"/>
                <w:kern w:val="0"/>
                <w:sz w:val="26"/>
                <w:szCs w:val="26"/>
                <w14:ligatures w14:val="none"/>
              </w:rPr>
            </w:pPr>
            <w:r w:rsidRPr="006C70BC">
              <w:rPr>
                <w:rFonts w:ascii="Times New Roman" w:eastAsia="Times New Roman" w:hAnsi="Times New Roman" w:cs="Times New Roman"/>
                <w:b/>
                <w:bCs/>
                <w:kern w:val="0"/>
                <w:sz w:val="26"/>
                <w:szCs w:val="26"/>
                <w14:ligatures w14:val="none"/>
              </w:rPr>
              <w:t>CỘNG HÒA XÃ HỘI CHỦ NGHĨA VIỆT NAM</w:t>
            </w:r>
            <w:r w:rsidRPr="006C70BC">
              <w:rPr>
                <w:rFonts w:ascii="Times New Roman" w:eastAsia="Times New Roman" w:hAnsi="Times New Roman" w:cs="Times New Roman"/>
                <w:b/>
                <w:bCs/>
                <w:kern w:val="0"/>
                <w:sz w:val="26"/>
                <w:szCs w:val="26"/>
                <w14:ligatures w14:val="none"/>
              </w:rPr>
              <w:br/>
              <w:t>Độc lập - Tự do - Hạnh phúc</w:t>
            </w:r>
            <w:r w:rsidRPr="006C70BC">
              <w:rPr>
                <w:rFonts w:ascii="Times New Roman" w:eastAsia="Times New Roman" w:hAnsi="Times New Roman" w:cs="Times New Roman"/>
                <w:b/>
                <w:bCs/>
                <w:kern w:val="0"/>
                <w:sz w:val="26"/>
                <w:szCs w:val="26"/>
                <w14:ligatures w14:val="none"/>
              </w:rPr>
              <w:br/>
              <w:t>---------------</w:t>
            </w:r>
          </w:p>
        </w:tc>
      </w:tr>
      <w:tr w:rsidR="006C70BC" w:rsidRPr="006C70BC" w:rsidTr="006C70BC">
        <w:trPr>
          <w:tblCellSpacing w:w="0" w:type="dxa"/>
        </w:trPr>
        <w:tc>
          <w:tcPr>
            <w:tcW w:w="3511" w:type="dxa"/>
            <w:tcMar>
              <w:top w:w="0" w:type="dxa"/>
              <w:left w:w="108" w:type="dxa"/>
              <w:bottom w:w="0" w:type="dxa"/>
              <w:right w:w="108" w:type="dxa"/>
            </w:tcMar>
            <w:hideMark/>
          </w:tcPr>
          <w:p w:rsidR="006C70BC" w:rsidRPr="006C70BC" w:rsidRDefault="006C70BC" w:rsidP="00EB74E8">
            <w:pPr>
              <w:spacing w:before="120" w:after="120" w:line="234" w:lineRule="atLeast"/>
              <w:jc w:val="center"/>
              <w:rPr>
                <w:rFonts w:ascii="Times New Roman" w:eastAsia="Times New Roman" w:hAnsi="Times New Roman" w:cs="Times New Roman"/>
                <w:kern w:val="0"/>
                <w:sz w:val="26"/>
                <w:szCs w:val="26"/>
                <w14:ligatures w14:val="none"/>
              </w:rPr>
            </w:pPr>
            <w:r w:rsidRPr="006C70BC">
              <w:rPr>
                <w:rFonts w:ascii="Times New Roman" w:eastAsia="Times New Roman" w:hAnsi="Times New Roman" w:cs="Times New Roman"/>
                <w:kern w:val="0"/>
                <w:sz w:val="26"/>
                <w:szCs w:val="26"/>
                <w14:ligatures w14:val="none"/>
              </w:rPr>
              <w:t>Số: 01/2024/NQ-HĐTP</w:t>
            </w:r>
          </w:p>
        </w:tc>
        <w:tc>
          <w:tcPr>
            <w:tcW w:w="5776" w:type="dxa"/>
            <w:tcMar>
              <w:top w:w="0" w:type="dxa"/>
              <w:left w:w="108" w:type="dxa"/>
              <w:bottom w:w="0" w:type="dxa"/>
              <w:right w:w="108" w:type="dxa"/>
            </w:tcMar>
            <w:hideMark/>
          </w:tcPr>
          <w:p w:rsidR="006C70BC" w:rsidRDefault="006C70BC" w:rsidP="00EB74E8">
            <w:pPr>
              <w:spacing w:before="120" w:after="120" w:line="234" w:lineRule="atLeast"/>
              <w:jc w:val="center"/>
              <w:rPr>
                <w:rFonts w:ascii="Times New Roman" w:eastAsia="Times New Roman" w:hAnsi="Times New Roman" w:cs="Times New Roman"/>
                <w:i/>
                <w:iCs/>
                <w:kern w:val="0"/>
                <w:sz w:val="26"/>
                <w:szCs w:val="26"/>
                <w14:ligatures w14:val="none"/>
              </w:rPr>
            </w:pPr>
            <w:r w:rsidRPr="006C70BC">
              <w:rPr>
                <w:rFonts w:ascii="Times New Roman" w:eastAsia="Times New Roman" w:hAnsi="Times New Roman" w:cs="Times New Roman"/>
                <w:i/>
                <w:iCs/>
                <w:kern w:val="0"/>
                <w:sz w:val="26"/>
                <w:szCs w:val="26"/>
                <w14:ligatures w14:val="none"/>
              </w:rPr>
              <w:t>Hà Nội, ngày 16 tháng 5 năm 2024</w:t>
            </w:r>
          </w:p>
          <w:p w:rsidR="007E5023" w:rsidRPr="006C70BC" w:rsidRDefault="007E5023" w:rsidP="00EB74E8">
            <w:pPr>
              <w:spacing w:before="120" w:after="120" w:line="234" w:lineRule="atLeast"/>
              <w:jc w:val="center"/>
              <w:rPr>
                <w:rFonts w:ascii="Times New Roman" w:eastAsia="Times New Roman" w:hAnsi="Times New Roman" w:cs="Times New Roman"/>
                <w:kern w:val="0"/>
                <w:sz w:val="26"/>
                <w:szCs w:val="26"/>
                <w14:ligatures w14:val="none"/>
              </w:rPr>
            </w:pPr>
            <w:bookmarkStart w:id="0" w:name="_GoBack"/>
            <w:bookmarkEnd w:id="0"/>
          </w:p>
        </w:tc>
      </w:tr>
    </w:tbl>
    <w:p w:rsidR="006C70BC" w:rsidRPr="006C70BC" w:rsidRDefault="006C70BC" w:rsidP="00EB74E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NGHỊ QUYẾT</w:t>
      </w:r>
    </w:p>
    <w:p w:rsidR="006C70BC" w:rsidRPr="006C70BC" w:rsidRDefault="006C70BC" w:rsidP="00EB74E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HƯỚNG DẪN ÁP DỤNG MỘT SỐ QUY ĐỊNH CỦA PHÁP LUẬT TRONG GIẢI QUYẾT VỤ VIỆC VỀ HÔN NHÂN VÀ GIA ĐÌNH</w:t>
      </w:r>
    </w:p>
    <w:p w:rsidR="006C70BC" w:rsidRPr="006C70BC" w:rsidRDefault="006C70BC" w:rsidP="00EB74E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HỘI ĐỒNG THẨM PHÁN TÒA ÁN NHÂN DÂN TỐI CAO</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i/>
          <w:iCs/>
          <w:color w:val="000000"/>
          <w:kern w:val="0"/>
          <w:sz w:val="26"/>
          <w:szCs w:val="26"/>
          <w14:ligatures w14:val="none"/>
        </w:rPr>
        <w:t>Căn cứ Luật Tổ chức Tòa án nhân dân ngày 24 tháng 11 năm 2014;</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i/>
          <w:iCs/>
          <w:color w:val="000000"/>
          <w:kern w:val="0"/>
          <w:sz w:val="26"/>
          <w:szCs w:val="26"/>
          <w14:ligatures w14:val="none"/>
        </w:rPr>
        <w:t>Căn cứ Luật Hôn nhân và gia đình ngày 19 tháng 6 năm 2014;</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i/>
          <w:iCs/>
          <w:color w:val="000000"/>
          <w:kern w:val="0"/>
          <w:sz w:val="26"/>
          <w:szCs w:val="26"/>
          <w14:ligatures w14:val="none"/>
        </w:rPr>
        <w:t>Căn cứ Bộ luật Dân sự ngày 24 tháng 11 năm 2015;</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i/>
          <w:iCs/>
          <w:color w:val="000000"/>
          <w:kern w:val="0"/>
          <w:sz w:val="26"/>
          <w:szCs w:val="26"/>
          <w14:ligatures w14:val="none"/>
        </w:rPr>
        <w:t>Căn cứ Bộ luật Tố tụng dân sự ngày 25 tháng 11 năm 2015;</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i/>
          <w:iCs/>
          <w:color w:val="000000"/>
          <w:kern w:val="0"/>
          <w:sz w:val="26"/>
          <w:szCs w:val="26"/>
          <w14:ligatures w14:val="none"/>
        </w:rPr>
        <w:t>Căn cứ Nghị quyết số 326/2016/UBTVQH14 ngày 30 tháng 12 năm 2016 của Ủy ban Thường vụ Quốc hội quy định về mức thu, miễn, giảm, thu, nộp, quản lý và sử dụng án phí và lệ phí Tòa án;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i/>
          <w:iCs/>
          <w:color w:val="000000"/>
          <w:kern w:val="0"/>
          <w:sz w:val="26"/>
          <w:szCs w:val="26"/>
          <w14:ligatures w14:val="none"/>
        </w:rPr>
        <w:t>Để áp dụng đúng và thống nhất một số quy định của pháp luật trong giải quyết vụ việc về hôn nhân và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i/>
          <w:iCs/>
          <w:color w:val="000000"/>
          <w:kern w:val="0"/>
          <w:sz w:val="26"/>
          <w:szCs w:val="26"/>
          <w14:ligatures w14:val="none"/>
        </w:rPr>
        <w:t>Sau khi có ý kiến của Viện trưởng Viện kiểm sát nhân dân tối cao và Bộ trưởng Bộ Tư pháp,</w:t>
      </w:r>
    </w:p>
    <w:p w:rsidR="006C70BC" w:rsidRPr="006C70BC" w:rsidRDefault="006C70BC" w:rsidP="00EB74E8">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QUYẾT NGHỊ:</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Điều 1. Phạm vi điều chỉnh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Nghị quyết này hướng dẫn áp dụng một số quy định của pháp luật trong giải quyết vụ việc về hôn nhân và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Điều 2. Quyền yêu cầu giải quyết ly hôn quy định tại khoản 3 Điều 51 của Luật Hôn nhân và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1. </w:t>
      </w:r>
      <w:r w:rsidRPr="006C70BC">
        <w:rPr>
          <w:rFonts w:ascii="Times New Roman" w:eastAsia="Times New Roman" w:hAnsi="Times New Roman" w:cs="Times New Roman"/>
          <w:i/>
          <w:iCs/>
          <w:color w:val="000000"/>
          <w:kern w:val="0"/>
          <w:sz w:val="26"/>
          <w:szCs w:val="26"/>
          <w14:ligatures w14:val="none"/>
        </w:rPr>
        <w:t>“Đang có thai”</w:t>
      </w:r>
      <w:r w:rsidRPr="006C70BC">
        <w:rPr>
          <w:rFonts w:ascii="Times New Roman" w:eastAsia="Times New Roman" w:hAnsi="Times New Roman" w:cs="Times New Roman"/>
          <w:color w:val="000000"/>
          <w:kern w:val="0"/>
          <w:sz w:val="26"/>
          <w:szCs w:val="26"/>
          <w14:ligatures w14:val="none"/>
        </w:rPr>
        <w:t> quy định tại khoản 3 Điều 51 của Luật Hôn nhân và gia đình là khoảng thời gian vợ mang trong mình bào thai và được cơ sở y tế có thẩm quyền xác định cho đến thời điểm sinh con hoặc thời điểm đình chỉ thai nghén.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2. </w:t>
      </w:r>
      <w:r w:rsidRPr="006C70BC">
        <w:rPr>
          <w:rFonts w:ascii="Times New Roman" w:eastAsia="Times New Roman" w:hAnsi="Times New Roman" w:cs="Times New Roman"/>
          <w:i/>
          <w:iCs/>
          <w:color w:val="000000"/>
          <w:kern w:val="0"/>
          <w:sz w:val="26"/>
          <w:szCs w:val="26"/>
          <w14:ligatures w14:val="none"/>
        </w:rPr>
        <w:t>“Sinh con”</w:t>
      </w:r>
      <w:r w:rsidRPr="006C70BC">
        <w:rPr>
          <w:rFonts w:ascii="Times New Roman" w:eastAsia="Times New Roman" w:hAnsi="Times New Roman" w:cs="Times New Roman"/>
          <w:color w:val="000000"/>
          <w:kern w:val="0"/>
          <w:sz w:val="26"/>
          <w:szCs w:val="26"/>
          <w14:ligatures w14:val="none"/>
        </w:rPr>
        <w:t> quy định tại khoản 3 Điều 51 của Luật Hôn nhân và gia đình là thuộc một trong các trường hợp sau đây:</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a) Vợ đã sinh con nhưng không nuôi con trong khoảng thời gian từ khi sinh con đến khi con dưới 12 tháng tuổi;</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b) Vợ đã sinh con nhưng con chết trong khoảng thời gian dưới 12 tháng tuổi kể từ khi sinh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c) Vợ có thai từ 22 tuần tuổi trở lên mà phải đình chỉ thai nghén.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3. Chồng không có quyền yêu cầu Tòa án giải quyết ly hôn trong khoảng thời gian dưới 12 tháng tính từ ngày vợ sinh con hướng dẫn tại điểm a, điểm b khoản 2 Điều này hoặc ngày đình chỉ thai nghén hướng dẫn tại điểm c khoản 2 Điều này.</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lastRenderedPageBreak/>
        <w:t>4. Trường hợp vợ đang có thai, sinh con thì chồng không có quyền yêu cầu ly hôn mà không phân biệt vợ có thai, sinh con với ai.</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5. Trường hợp vợ đang nuôi con dưới 12 tháng tuổi thì chồng không có quyền yêu cầu ly hôn mà không phân biệt con đẻ, con nuôi.</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6. Trường hợp mang thai hộ vì mục đích nhân đạo thì việc xác định quyền yêu cầu giải quyết ly hôn của chồng như sau:</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a) Chồng của người mang thai hộ không có quyền yêu cầu Tòa án giải quyết ly hôn khi vợ đang có thai, sinh con hoặc đang nuôi con dưới 12 tháng tuổi;</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b) Chồng của người nhờ mang thai hộ không có quyền yêu cầu Tòa án giải quyết ly hôn khi vợ đang nuôi con dưới 12 tháng tuổi hoặc khi người mang thai hộ đang có thai, sinh con hoặc đang nuôi con dưới 12 tháng tuổi.</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Điều 3. Thuận tình ly hôn quy định tại Điều 55 của Luật Hôn nhân và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1. </w:t>
      </w:r>
      <w:r w:rsidRPr="006C70BC">
        <w:rPr>
          <w:rFonts w:ascii="Times New Roman" w:eastAsia="Times New Roman" w:hAnsi="Times New Roman" w:cs="Times New Roman"/>
          <w:i/>
          <w:iCs/>
          <w:color w:val="000000"/>
          <w:kern w:val="0"/>
          <w:sz w:val="26"/>
          <w:szCs w:val="26"/>
          <w14:ligatures w14:val="none"/>
        </w:rPr>
        <w:t>“Vợ chồng cùng yêu cầu ly hôn”</w:t>
      </w:r>
      <w:r w:rsidRPr="006C70BC">
        <w:rPr>
          <w:rFonts w:ascii="Times New Roman" w:eastAsia="Times New Roman" w:hAnsi="Times New Roman" w:cs="Times New Roman"/>
          <w:color w:val="000000"/>
          <w:kern w:val="0"/>
          <w:sz w:val="26"/>
          <w:szCs w:val="26"/>
          <w14:ligatures w14:val="none"/>
        </w:rPr>
        <w:t> quy định tại Điều 55 của Luật Hôn nhân và gia đình là trường hợp vợ chồng cùng ký vào đơn yêu cầu công nhận thuận tình ly hôn, thỏa thuận nuôi con, chia tài sản khi ly hôn hoặc một bên có đơn khởi kiện ly hôn, còn bên kia đồng ý ly hôn, thỏa thuận nuôi con, chia tài sản khi ly hôn.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2. Thỏa thuận của vợ chồng về việc chia tài sản, việc trông nom, nuôi dưỡng, chăm sóc, giáo dục con phải không vi phạm điều cấm của luật, không trái đạo đức xã hội.</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3. Thỏa thuận của vợ chồng về việc chia tài sản bao gồm cả trường hợp vợ chồng không yêu cầu Tòa án giải quyết việc chia tài sản.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4. </w:t>
      </w:r>
      <w:r w:rsidRPr="006C70BC">
        <w:rPr>
          <w:rFonts w:ascii="Times New Roman" w:eastAsia="Times New Roman" w:hAnsi="Times New Roman" w:cs="Times New Roman"/>
          <w:i/>
          <w:iCs/>
          <w:color w:val="000000"/>
          <w:kern w:val="0"/>
          <w:sz w:val="26"/>
          <w:szCs w:val="26"/>
          <w14:ligatures w14:val="none"/>
        </w:rPr>
        <w:t>“Việc trông nom, nuôi dưỡng, chăm sóc, giáo dục con”</w:t>
      </w:r>
      <w:r w:rsidRPr="006C70BC">
        <w:rPr>
          <w:rFonts w:ascii="Times New Roman" w:eastAsia="Times New Roman" w:hAnsi="Times New Roman" w:cs="Times New Roman"/>
          <w:color w:val="000000"/>
          <w:kern w:val="0"/>
          <w:sz w:val="26"/>
          <w:szCs w:val="26"/>
          <w14:ligatures w14:val="none"/>
        </w:rPr>
        <w:t> quy định tại Điều 55 của Luật Hôn nhân và gia đình là việc trông nom, nuôi dưỡng, chăm sóc, giáo dục con chưa thành niên, con đã thành niên mất năng lực hành vi dân sự hoặc không có khả năng lao động và không có tài sản để tự nuôi mình.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Điều 4. Ly hôn theo yêu cầu của một bên quy định tại khoản 1 Điều 56 của Luật Hôn nhân và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1. </w:t>
      </w:r>
      <w:r w:rsidRPr="006C70BC">
        <w:rPr>
          <w:rFonts w:ascii="Times New Roman" w:eastAsia="Times New Roman" w:hAnsi="Times New Roman" w:cs="Times New Roman"/>
          <w:i/>
          <w:iCs/>
          <w:color w:val="000000"/>
          <w:kern w:val="0"/>
          <w:sz w:val="26"/>
          <w:szCs w:val="26"/>
          <w14:ligatures w14:val="none"/>
        </w:rPr>
        <w:t>“Vợ, chồng có hành vi bạo lực gia đình”</w:t>
      </w:r>
      <w:r w:rsidRPr="006C70BC">
        <w:rPr>
          <w:rFonts w:ascii="Times New Roman" w:eastAsia="Times New Roman" w:hAnsi="Times New Roman" w:cs="Times New Roman"/>
          <w:color w:val="000000"/>
          <w:kern w:val="0"/>
          <w:sz w:val="26"/>
          <w:szCs w:val="26"/>
          <w14:ligatures w14:val="none"/>
        </w:rPr>
        <w:t> là vợ, chồng có hành vi quy định tại khoản 1 Điều 3 của Luật Phòng, chống bạo lực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2</w:t>
      </w:r>
      <w:r w:rsidRPr="006C70BC">
        <w:rPr>
          <w:rFonts w:ascii="Times New Roman" w:eastAsia="Times New Roman" w:hAnsi="Times New Roman" w:cs="Times New Roman"/>
          <w:i/>
          <w:iCs/>
          <w:color w:val="000000"/>
          <w:kern w:val="0"/>
          <w:sz w:val="26"/>
          <w:szCs w:val="26"/>
          <w14:ligatures w14:val="none"/>
        </w:rPr>
        <w:t>. “Vi phạm nghiêm trọng quyền, nghĩa vụ của vợ, chồng”</w:t>
      </w:r>
      <w:r w:rsidRPr="006C70BC">
        <w:rPr>
          <w:rFonts w:ascii="Times New Roman" w:eastAsia="Times New Roman" w:hAnsi="Times New Roman" w:cs="Times New Roman"/>
          <w:color w:val="000000"/>
          <w:kern w:val="0"/>
          <w:sz w:val="26"/>
          <w:szCs w:val="26"/>
          <w14:ligatures w14:val="none"/>
        </w:rPr>
        <w:t> là vi phạm quy định của Luật Hôn nhân và gia đình về quyền, nghĩa vụ của vợ, chồng dẫn đến xâm phạm nghiêm trọng đến quyền, lợi ích hợp pháp của người kia.</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Ví dụ: Vợ, chồng phá tán tài sản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3. </w:t>
      </w:r>
      <w:r w:rsidRPr="006C70BC">
        <w:rPr>
          <w:rFonts w:ascii="Times New Roman" w:eastAsia="Times New Roman" w:hAnsi="Times New Roman" w:cs="Times New Roman"/>
          <w:i/>
          <w:iCs/>
          <w:color w:val="000000"/>
          <w:kern w:val="0"/>
          <w:sz w:val="26"/>
          <w:szCs w:val="26"/>
          <w14:ligatures w14:val="none"/>
        </w:rPr>
        <w:t>“Hôn nhân lâm vào tình trạng trầm trọng, đời sống chung không thể kéo dài, mục đích của hôn nhân không đạt được”</w:t>
      </w:r>
      <w:r w:rsidRPr="006C70BC">
        <w:rPr>
          <w:rFonts w:ascii="Times New Roman" w:eastAsia="Times New Roman" w:hAnsi="Times New Roman" w:cs="Times New Roman"/>
          <w:color w:val="000000"/>
          <w:kern w:val="0"/>
          <w:sz w:val="26"/>
          <w:szCs w:val="26"/>
          <w14:ligatures w14:val="none"/>
        </w:rPr>
        <w:t> là thuộc một trong các trường hợp sau đây:</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a) Không có tình nghĩa vợ chồng, ví dụ: vợ, chồng không thương yêu, quý trọng, chăm sóc, giúp đỡ nhau; vợ, chồng sống ly thân, bỏ mặc vợ hoặc chồng;</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b) Vợ, chồng có quan hệ ngoại tình;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c) Vợ, chồng xúc phạm nhau, làm tổn hại đến danh dự, nhân phẩm, uy tín, tổn thất về tinh thần hoặc gây thương tích, tổn hại đến sức khỏe của nhau;</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d) Không bình đẳng về quyền, nghĩa vụ giữa vợ, chồng; không tôn trọng quyền tự do tín ngưỡng, tôn giáo của vợ, chồng; không giúp đỡ, tạo điều kiện cho nhau phát triển.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lastRenderedPageBreak/>
        <w:t>Điều 5. Hạn chế phân chia di sản của vợ, chồng trong trường hợp một bên chết hoặc bị Tòa án tuyên bố là đã chết quy định tại khoản 3 Điều 66 của Luật Hôn nhân và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Việc chia di sản ảnh hưởng nghiêm trọng đến đời sống của vợ hoặc chồng còn sống và gia đình theo quy định tại khoản 3 Điều 66 của Luật Hôn nhân và gia đình và Điều 661 của Bộ luật Dân sự là trường hợp người chết có để lại di sản, nhưng nếu chia di sản này cho người thừa kế thì vợ hoặc chồng còn sống và gia đình gặp nhiều khó khăn trong cuộc sống như: không có chỗ ở, mất nguồn tư liệu sản xuất duy nhất...</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Ví dụ 1: Trước khi kết hôn, anh A mua được một ngôi nhà cấp 4 có diện tích 35 m</w:t>
      </w:r>
      <w:r w:rsidRPr="006C70BC">
        <w:rPr>
          <w:rFonts w:ascii="Times New Roman" w:eastAsia="Times New Roman" w:hAnsi="Times New Roman" w:cs="Times New Roman"/>
          <w:color w:val="000000"/>
          <w:kern w:val="0"/>
          <w:sz w:val="26"/>
          <w:szCs w:val="26"/>
          <w:vertAlign w:val="superscript"/>
          <w14:ligatures w14:val="none"/>
        </w:rPr>
        <w:t>2</w:t>
      </w:r>
      <w:r w:rsidRPr="006C70BC">
        <w:rPr>
          <w:rFonts w:ascii="Times New Roman" w:eastAsia="Times New Roman" w:hAnsi="Times New Roman" w:cs="Times New Roman"/>
          <w:color w:val="000000"/>
          <w:kern w:val="0"/>
          <w:sz w:val="26"/>
          <w:szCs w:val="26"/>
          <w14:ligatures w14:val="none"/>
        </w:rPr>
        <w:t>. Sau đó anh A kết hôn với chị B và không nhập ngôi nhà này vào khối tài sản chung của vợ chồng. Sau khi sinh được một người con thì anh A chết và không để lại di chúc. Bố mẹ của anh A yêu cầu chia di sản thừa kế là ngôi nhà của anh A. Chị B và con không có chỗ ở nào khác và cũng chưa có điều kiện để tạo lập chỗ ở khác. Ngôi nhà này lại không thể chia được bằng hiện vật. Trong trường hợp này việc chia di sản thừa kế là ngôi nhà sẽ ảnh hưởng nghiêm trọng đến đời sống của chị B và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Ví dụ 2: Anh C và chị D kết hôn với nhau và mua được ngôi nhà có diện tích 35 m</w:t>
      </w:r>
      <w:r w:rsidRPr="006C70BC">
        <w:rPr>
          <w:rFonts w:ascii="Times New Roman" w:eastAsia="Times New Roman" w:hAnsi="Times New Roman" w:cs="Times New Roman"/>
          <w:color w:val="000000"/>
          <w:kern w:val="0"/>
          <w:sz w:val="26"/>
          <w:szCs w:val="26"/>
          <w:vertAlign w:val="superscript"/>
          <w14:ligatures w14:val="none"/>
        </w:rPr>
        <w:t>2</w:t>
      </w:r>
      <w:r w:rsidRPr="006C70BC">
        <w:rPr>
          <w:rFonts w:ascii="Times New Roman" w:eastAsia="Times New Roman" w:hAnsi="Times New Roman" w:cs="Times New Roman"/>
          <w:color w:val="000000"/>
          <w:kern w:val="0"/>
          <w:sz w:val="26"/>
          <w:szCs w:val="26"/>
          <w14:ligatures w14:val="none"/>
        </w:rPr>
        <w:t>. Sau khi sinh được một người con thì anh C chết và không để lại di chúc. Bố mẹ của anh C yêu cầu chia di sản do anh C để lại là phần nhà của anh C trong ngôi nhà này. Chị D và con không có chỗ ở nào khác, trong khi đó ngôi nhà này nếu chia bằng hiện vật thì không bảo đảm cho việc sinh hoạt tối thiểu của chị D và con; nếu buộc chị D phải thanh toán bằng tiền phần thừa kế mà bố mẹ anh C được hưởng thì chị D cũng không có khả năng. Trong trường hợp này, việc chia di sản thừa kế phần nhà của anh C trong ngôi nhà có diện tích 35 m</w:t>
      </w:r>
      <w:r w:rsidRPr="006C70BC">
        <w:rPr>
          <w:rFonts w:ascii="Times New Roman" w:eastAsia="Times New Roman" w:hAnsi="Times New Roman" w:cs="Times New Roman"/>
          <w:color w:val="000000"/>
          <w:kern w:val="0"/>
          <w:sz w:val="26"/>
          <w:szCs w:val="26"/>
          <w:vertAlign w:val="superscript"/>
          <w14:ligatures w14:val="none"/>
        </w:rPr>
        <w:t>2</w:t>
      </w:r>
      <w:r w:rsidRPr="006C70BC">
        <w:rPr>
          <w:rFonts w:ascii="Times New Roman" w:eastAsia="Times New Roman" w:hAnsi="Times New Roman" w:cs="Times New Roman"/>
          <w:color w:val="000000"/>
          <w:kern w:val="0"/>
          <w:sz w:val="26"/>
          <w:szCs w:val="26"/>
          <w14:ligatures w14:val="none"/>
        </w:rPr>
        <w:t> sẽ ảnh hưởng nghiêm trọng đến đời sống của chị D và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Điều 6. Giải quyết việc nuôi con khi ly hôn quy định tại Điều 81 của Luật Hôn nhân và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1. Khi xem xét </w:t>
      </w:r>
      <w:r w:rsidRPr="006C70BC">
        <w:rPr>
          <w:rFonts w:ascii="Times New Roman" w:eastAsia="Times New Roman" w:hAnsi="Times New Roman" w:cs="Times New Roman"/>
          <w:i/>
          <w:iCs/>
          <w:color w:val="000000"/>
          <w:kern w:val="0"/>
          <w:sz w:val="26"/>
          <w:szCs w:val="26"/>
          <w14:ligatures w14:val="none"/>
        </w:rPr>
        <w:t>“quyền lợi về mọi mặt của con”</w:t>
      </w:r>
      <w:r w:rsidRPr="006C70BC">
        <w:rPr>
          <w:rFonts w:ascii="Times New Roman" w:eastAsia="Times New Roman" w:hAnsi="Times New Roman" w:cs="Times New Roman"/>
          <w:color w:val="000000"/>
          <w:kern w:val="0"/>
          <w:sz w:val="26"/>
          <w:szCs w:val="26"/>
          <w14:ligatures w14:val="none"/>
        </w:rPr>
        <w:t> quy định tại khoản 2 Điều 81 của Luật Hôn nhân và gia đình phải đánh giá khách quan, toàn diện các tiêu chí sau đây:</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a) Điều kiện, khả năng của cha, mẹ trong việc trông nom, chăm sóc, nuôi dưỡng, giáo dục con, bao gồm cả khả năng bảo vệ con khỏi bị xâm hại, bóc lột;</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b) Quyền của con được sống chung với người trực tiếp nuôi, được duy trì mối quan hệ với người cha, mẹ không trực tiếp nuôi;</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c) Sự gắn bó, thân thiết của con với cha, mẹ;</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d) Sự quan tâm của cha, mẹ đối với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đ) Bảo đảm sự ổn định, hạn chế sự xáo trộn môi trường sống, giáo dục của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e) Nguyện vọng của con được ở cùng với anh, chị, em (nếu có) để bảo đảm ổn định tâm lý và tình cảm của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g) Nguyện vọng của con được sống chung với cha hoặc mẹ.</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2. Việc lấy ý kiến của con chưa thành niên từ đủ 07 tuổi trở lên quy định tại khoản 2 Điều 81 của Luật Hôn nhân và gia đình và khoản 3 Điều 208 của Bộ luật Tố tụng dân sự phải bảo đảm các yêu cầu sau đây:</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a) Bảo đảm thân thiện, phù hợp với tâm lý, độ tuổi, mức độ trưởng thành để con có thể bày tỏ đúng và đầy đủ ý kiến của mình;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b) Không lấy ý kiến trước mặt cha, mẹ để tránh gây áp lực tâm lý cho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c) Không ép buộc, không gây áp lực, căng thẳng cho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lastRenderedPageBreak/>
        <w:t>3</w:t>
      </w:r>
      <w:r w:rsidRPr="006C70BC">
        <w:rPr>
          <w:rFonts w:ascii="Times New Roman" w:eastAsia="Times New Roman" w:hAnsi="Times New Roman" w:cs="Times New Roman"/>
          <w:i/>
          <w:iCs/>
          <w:color w:val="000000"/>
          <w:kern w:val="0"/>
          <w:sz w:val="26"/>
          <w:szCs w:val="26"/>
          <w14:ligatures w14:val="none"/>
        </w:rPr>
        <w:t>. “Người mẹ không đủ điều kiện để trực tiếp trông nom, chăm sóc, nuôi dưỡng, giáo dục con”</w:t>
      </w:r>
      <w:r w:rsidRPr="006C70BC">
        <w:rPr>
          <w:rFonts w:ascii="Times New Roman" w:eastAsia="Times New Roman" w:hAnsi="Times New Roman" w:cs="Times New Roman"/>
          <w:color w:val="000000"/>
          <w:kern w:val="0"/>
          <w:sz w:val="26"/>
          <w:szCs w:val="26"/>
          <w14:ligatures w14:val="none"/>
        </w:rPr>
        <w:t> quy định tại khoản 3 Điều 81 của Luật Hôn nhân và gia đình là trường hợp người mẹ thuộc một trong các trường hợp sau đây:</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a) Mắc bệnh hiểm nghèo hoặc bị bệnh nặng khác mà không thể tự chăm sóc bản thân hoặc không thể trực tiếp trông nom, chăm sóc, nuôi dưỡng, giáo dục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Ví dụ: Trường hợp người mẹ bị đột quỵ và liệt nửa người, không còn khả năng đi lại thì Tòa án không giao con dưới 36 tháng tuổi cho người mẹ trực tiếp trông nom, chăm sóc, nuôi dưỡng, giáo dục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b) Có thu nhập mỗi tháng thấp hơn một nửa tháng lương tối thiểu vùng tại nơi người mẹ đang cư trú và không có tài sản nào khác để trông nom, chăm sóc, nuôi dưỡng, giáo dục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c) Người mẹ không có điều kiện về thời gian tối thiểu để trực tiếp trông nom, chăm sóc, nuôi dưỡng, giáo dục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4. Trường hợp điều kiện trông nom, chăm sóc, nuôi dưỡng, giáo dục con của người cha không tốt hơn điều kiện của người mẹ hướng dẫn tại khoản 3 Điều này thì Tòa án quyết định giao con cho mẹ trực tiếp nuôi.</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Điều 7. Nghĩa vụ cấp dưỡng cho con quy định tại khoản 2 Điều 82 của Luật Hôn nhân và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1. Trường hợp người trực tiếp nuôi con không yêu cầu người không trực tiếp nuôi con cấp dưỡng thì Tòa án giải thích cho họ việc yêu cầu cấp dưỡng cho con là nhằm bảo vệ quyền, lợi ích hợp pháp của con. Nếu xét thấy người trực tiếp nuôi con có khả năng, điều kiện nuôi dưỡng và việc họ không yêu cầu cấp dưỡng là tự nguyện thì Tòa án không buộc bên kia phải cấp dưỡng cho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2. Tiền cấp dưỡng cho con là toàn bộ chi phí cho việc nuôi dưỡng, học tập của con và do các bên thỏa thuận. Trường hợp các bên không thoả thuận được thì Tòa án quyết định mức cấp dưỡng căn cứ vào thu nhập, khả năng thực tế của người có nghĩa vụ cấp dưỡng và nhu cầu thiết yếu của người được cấp dưỡng. Mức cấp dưỡng do Tòa án quyết định nhưng không thấp hơn một nửa tháng lương tối thiểu vùng tại nơi người cấp dưỡng đang cư trú cho mỗi tháng đối với mỗi người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3. Trường hợp các bên không thỏa thuận được phương thức cấp dưỡng thì Tòa án quyết định phương thức cấp dưỡng hàng tháng hoặc phương thức khác phù hợp với nhu cầu, lợi ích của con và điều kiện kinh tế của người cấp dưỡng.</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4. Nghĩa vụ cấp dưỡng của cha, mẹ đối với con chưa thành niên, con đã thành niên không có khả năng lao động và không có tài sản để tự nuôi mình phát sinh kể từ thời điểm cha, mẹ không sống chung với con hoặc sống chung với con nhưng vi phạm nghĩa vụ nuôi dưỡng con, trừ trường hợp các bên có thỏa thuận khác.</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Điều 8. Hạn chế quyền của cha, mẹ đối với con chưa thành niên quy định tại Điều 85 của Luật Hôn nhân và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1</w:t>
      </w:r>
      <w:r w:rsidRPr="006C70BC">
        <w:rPr>
          <w:rFonts w:ascii="Times New Roman" w:eastAsia="Times New Roman" w:hAnsi="Times New Roman" w:cs="Times New Roman"/>
          <w:i/>
          <w:iCs/>
          <w:color w:val="000000"/>
          <w:kern w:val="0"/>
          <w:sz w:val="26"/>
          <w:szCs w:val="26"/>
          <w14:ligatures w14:val="none"/>
        </w:rPr>
        <w:t>. “Bị kết án về một trong các tội xâm phạm tính mạng, sức khỏe, nhân phẩm, danh dự của con với lỗi cố ý”</w:t>
      </w:r>
      <w:r w:rsidRPr="006C70BC">
        <w:rPr>
          <w:rFonts w:ascii="Times New Roman" w:eastAsia="Times New Roman" w:hAnsi="Times New Roman" w:cs="Times New Roman"/>
          <w:color w:val="000000"/>
          <w:kern w:val="0"/>
          <w:sz w:val="26"/>
          <w:szCs w:val="26"/>
          <w14:ligatures w14:val="none"/>
        </w:rPr>
        <w:t> là bị Tòa án kết án bằng bản án có hiệu lực pháp luật về một trong các tội quy định tại Chương XIV Bộ luật Hình sự đối với con chưa thành niên với lỗi cố ý.</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Ví dụ: Cha, mẹ bị kết án bằng bản án có hiệu lực pháp luật về tội “Cố ý gây thương tích” quy định tại Điều 134 của Bộ luật Hình sự đối với con chưa thành niên.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lastRenderedPageBreak/>
        <w:t>2. </w:t>
      </w:r>
      <w:r w:rsidRPr="006C70BC">
        <w:rPr>
          <w:rFonts w:ascii="Times New Roman" w:eastAsia="Times New Roman" w:hAnsi="Times New Roman" w:cs="Times New Roman"/>
          <w:i/>
          <w:iCs/>
          <w:color w:val="000000"/>
          <w:kern w:val="0"/>
          <w:sz w:val="26"/>
          <w:szCs w:val="26"/>
          <w14:ligatures w14:val="none"/>
        </w:rPr>
        <w:t>“Hành vi vi phạm nghiêm trọng nghĩa vụ trông nom, chăm sóc, nuôi dưỡng, giáo dục con” </w:t>
      </w:r>
      <w:r w:rsidRPr="006C70BC">
        <w:rPr>
          <w:rFonts w:ascii="Times New Roman" w:eastAsia="Times New Roman" w:hAnsi="Times New Roman" w:cs="Times New Roman"/>
          <w:color w:val="000000"/>
          <w:kern w:val="0"/>
          <w:sz w:val="26"/>
          <w:szCs w:val="26"/>
          <w14:ligatures w14:val="none"/>
        </w:rPr>
        <w:t>là không thực hiện hoặc thực hiện không đúng, không đầy đủ nghĩa vụ trông nom, chăm sóc, nuôi dưỡng, giáo dục con gây ảnh hưởng nghiêm trọng đến quyền và lợi ích hợp pháp của con hoặc làm tổn hại đến sư phát triển toàn diện của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Ví dụ: Cha, mẹ bỏ mặc con chưa thành niên tự sinh sống, không có điều kiện để tự nuôi mình dẫn đến con có hành vi trộm cắp tài sản.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3</w:t>
      </w:r>
      <w:r w:rsidRPr="006C70BC">
        <w:rPr>
          <w:rFonts w:ascii="Times New Roman" w:eastAsia="Times New Roman" w:hAnsi="Times New Roman" w:cs="Times New Roman"/>
          <w:i/>
          <w:iCs/>
          <w:color w:val="000000"/>
          <w:kern w:val="0"/>
          <w:sz w:val="26"/>
          <w:szCs w:val="26"/>
          <w14:ligatures w14:val="none"/>
        </w:rPr>
        <w:t>. “Phá tán tài sản của con”</w:t>
      </w:r>
      <w:r w:rsidRPr="006C70BC">
        <w:rPr>
          <w:rFonts w:ascii="Times New Roman" w:eastAsia="Times New Roman" w:hAnsi="Times New Roman" w:cs="Times New Roman"/>
          <w:color w:val="000000"/>
          <w:kern w:val="0"/>
          <w:sz w:val="26"/>
          <w:szCs w:val="26"/>
          <w14:ligatures w14:val="none"/>
        </w:rPr>
        <w:t> là mua, bán, tặng cho, hủy hoại hoặc hành vi khác làm thiệt hại đến tài sản của con mà không vì lợi ích của con.</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4.</w:t>
      </w:r>
      <w:r w:rsidRPr="006C70BC">
        <w:rPr>
          <w:rFonts w:ascii="Times New Roman" w:eastAsia="Times New Roman" w:hAnsi="Times New Roman" w:cs="Times New Roman"/>
          <w:i/>
          <w:iCs/>
          <w:color w:val="000000"/>
          <w:kern w:val="0"/>
          <w:sz w:val="26"/>
          <w:szCs w:val="26"/>
          <w14:ligatures w14:val="none"/>
        </w:rPr>
        <w:t> “Có lối sống đồi trụy</w:t>
      </w:r>
      <w:r w:rsidRPr="006C70BC">
        <w:rPr>
          <w:rFonts w:ascii="Times New Roman" w:eastAsia="Times New Roman" w:hAnsi="Times New Roman" w:cs="Times New Roman"/>
          <w:color w:val="000000"/>
          <w:kern w:val="0"/>
          <w:sz w:val="26"/>
          <w:szCs w:val="26"/>
          <w14:ligatures w14:val="none"/>
        </w:rPr>
        <w:t>” là lối sống ăn chơi, tiêu khiển thấp hèn, xấu xa, hư hỏng, trái với thuần phong, mỹ tục của dân tộc.</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Ví dụ: Cha, mẹ thực hiện hoạt động mại dâm.</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5. </w:t>
      </w:r>
      <w:r w:rsidRPr="006C70BC">
        <w:rPr>
          <w:rFonts w:ascii="Times New Roman" w:eastAsia="Times New Roman" w:hAnsi="Times New Roman" w:cs="Times New Roman"/>
          <w:i/>
          <w:iCs/>
          <w:color w:val="000000"/>
          <w:kern w:val="0"/>
          <w:sz w:val="26"/>
          <w:szCs w:val="26"/>
          <w14:ligatures w14:val="none"/>
        </w:rPr>
        <w:t>“Xúi giục, ép buộc con làm những việc trái pháp luật, trái đạo đức xã hội”</w:t>
      </w:r>
      <w:r w:rsidRPr="006C70BC">
        <w:rPr>
          <w:rFonts w:ascii="Times New Roman" w:eastAsia="Times New Roman" w:hAnsi="Times New Roman" w:cs="Times New Roman"/>
          <w:color w:val="000000"/>
          <w:kern w:val="0"/>
          <w:sz w:val="26"/>
          <w:szCs w:val="26"/>
          <w14:ligatures w14:val="none"/>
        </w:rPr>
        <w:t> là hành vi kích động, dụ dỗ, thúc đẩy, ép buộc bằng lời nói, cử chỉ hoặc bằng bất cứ hình thức nào dẫn đến con làm những việc trái pháp luật, trái đạo đức xã hội.</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Ví dụ: xúi giục, ép buộc dẫn đến con bỏ học, trộm cắp, lừa đảo, vận chuyển trái phép chất ma túy.</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6. Tòa án có thể tự mình hoặc theo yêu cầu của cá nhân, cơ quan, tổ chức ra quyết định về việc cha, mẹ bị hạn chế quyền đối với con chưa thành niên, cụ thể như sau:</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a) Không cho cha, mẹ trông nom, chăm sóc, giáo dục con khi cha, mẹ có hành vi quy định tại các khoản 1, 2, 4 và 5 Điều này;</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b) Không cho cha, mẹ quản lý tài sản của con khi cha, mẹ có hành vi quy định tại khoản 3 Điều này;</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c) Không cho cha, mẹ đại diện theo pháp luật cho con khi cha, mẹ có hành vi quy định tại các khoản 1, 2, 3, 4 và 5 Điều này.</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7. Tòa án quyết định rút ngắn thời hạn hạn chế quyền của cha, mẹ đối với con chưa thành niên trong trường hợp cha, mẹ đã thực hiện được một phần hai thời hạn theo quyết định của Tòa án và trong thời hạn này, cha, mẹ không thực hiện một trong các hành vi quy định tại các khoản 1, 2, 3, 4 và 5 Điều này.</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Điều 9. Xác định thẩm quyền giải quyết vụ án về hôn nhân và gia đình trong một số trường hợp</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1. Vụ án về hôn nhân và gia đình có tranh chấp về bất động sản mà nơi cư trú, làm việc của bị đơn, nguyên đơn quy định tại điểm a, điểm b khoản 1 Điều 39 của Bộ luật Tố tụng dân sự và nơi có bất động sản đang tranh chấp khác nhau thì thẩm quyền của Tòa án được xác định theo quy định tại điểm a, điểm b khoản 1 Điều 39 của Bộ luật Tố tụng dân sự.</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2. Trường hợp cha và mẹ là người Việt Nam định cư ở nước ngoài có đơn khởi kiện về việc thay đổi người trực tiếp nuôi con sau khi ly hôn, con chung đang sinh sống tại Việt Nam thì thuộc thẩm quyền giải quyết của Tòa án Việt Nam theo quy định tại điểm đ khoản 1 Điều 469 của Bộ luật Tố tụng dân sự.</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Điều 10. Giải quyết vụ án ly hôn có bị đơn là người Việt Nam ở nước ngoài nhưng không rõ địa chỉ</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Trong vụ án ly hôn, người Việt Nam ở trong nước xin ly hôn với người Việt Nam ở nước ngoài và nguyên đơn chỉ cung cấp được địa chỉ nơi cư trú cuối cùng ở Việt Nam của bị đơn mà không cung cấp được địa chỉ của bị đơn ở nước ngoài thì Tòa án giải quyết như sau:</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lastRenderedPageBreak/>
        <w:t>1. Trường hợp qua người thân thích của bị đơn có căn cứ xác định họ có liên hệ với người thân thích ở trong nước nhưng người thân thích của họ không cung cấp địa chỉ của bị đơn cho Tòa án, không thực hiện yêu cầu của Tòa án thông báo cho bị đơn biết thì được coi là cố tình giấu địa chỉ.</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Trường hợp Tòa án đã yêu cầu đến lần thứ hai mà người thân thích của họ không cung cấp địa chỉ của bị đơn cho Tòa án, không thực hiện yêu cầu của Tòa án thông báo cho bị đơn biết thì Tòa án tiếp tục giải quyết, xét xử vắng mặt bị đơn theo thủ tục chung.</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2. Sau khi xét xử, Tòa án gửi cho người thân thích của bị đơn bản sao bản án, quyết định để họ chuyển cho bị đơn, đồng thời tiến hành niêm yết công khai bản sao bản án, quyết định tại trụ sở Ủy ban nhân dân cấp xã nơi cư trú cuối cùng của bị đơn và nơi người thân thích của bị đơn cư trú để đương sự có thể thực hiện quyền kháng cáo theo quy định của pháp luật tố tụng.</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Điều 11. Án phí trong giải quyết vụ án hôn nhân và gia đình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1. Đương sự phải chịu án phí trong vụ án tranh chấp về xác định cha, mẹ cho con theo quy định tại Điều 26 của Nghị quyết số 326/2016/UBTVQH14 ngày 30 tháng 12 năm 2016 của Ủy ban Thường vụ Quốc hội quy định về mức thu, miễn, giảm, thu, nộp, quản lý và sử dụng án phí và lệ phí Tòa án, trừ trường hợp tranh chấp về xác định cha, mẹ cho con chưa thành niên, con đã thành niên mất năng lực hành vi dân sự.</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2. Trong vụ án ly hôn mà các bên đương sự thuận tình ly hôn theo quy định của pháp luật về hôn nhân và gia đình thì cần phân biệt như sau:</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a) Trường hợp các bên đương sự thuận tình ly hôn trước khi mở phiên tòa sơ thẩm thì các bên đương sự phải chịu 50% mức án phí quy định (mỗi bên phải chịu 25% mức án phí quy định);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b) Trường hợp các bên đương sự thuận tình ly hôn tại phiên tòa sơ thẩm thì các bên đương sự phải chịu 100% mức án phí quy định (mỗi bên phải chịu 50% mức án phí quy định).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3. Trường hợp trước khi mở phiên tòa, các bên đương sự tự nguyện ly hôn nhưng không thỏa thuận được về con chung và tài sản chung mà Tòa án xét xử và ra bản án sơ thẩm thì các đương sự phải chịu 50% mức án phí quy định đối với yêu cầu xin ly hôn (mỗi bên phải chịu 25% mức án phí quy định); về quan hệ tài sản thì mức án phí mỗi bên phải chịu tương ứng với giá trị phần tài sản mà mỗi bên được chia theo quy định của pháp luật về án phí.</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b/>
          <w:bCs/>
          <w:color w:val="000000"/>
          <w:kern w:val="0"/>
          <w:sz w:val="26"/>
          <w:szCs w:val="26"/>
          <w14:ligatures w14:val="none"/>
        </w:rPr>
        <w:t>Điều 12. Hiệu lực thi hành</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1. Nghị quyết này đã được Hội đồng Thẩm phán Tòa án nhân dân tối cao thông qua ngày 24 tháng 4 năm 2024 và có hiệu lực thi hành kể từ ngày 01 tháng 7 năm 2024.</w:t>
      </w:r>
    </w:p>
    <w:p w:rsidR="006C70BC" w:rsidRPr="006C70BC" w:rsidRDefault="006C70BC" w:rsidP="00EB74E8">
      <w:pPr>
        <w:shd w:val="clear" w:color="auto" w:fill="FFFFFF"/>
        <w:spacing w:before="120" w:after="120" w:line="234" w:lineRule="atLeast"/>
        <w:jc w:val="both"/>
        <w:rPr>
          <w:rFonts w:ascii="Times New Roman" w:eastAsia="Times New Roman" w:hAnsi="Times New Roman" w:cs="Times New Roman"/>
          <w:color w:val="000000"/>
          <w:kern w:val="0"/>
          <w:sz w:val="26"/>
          <w:szCs w:val="26"/>
          <w14:ligatures w14:val="none"/>
        </w:rPr>
      </w:pPr>
      <w:r w:rsidRPr="006C70BC">
        <w:rPr>
          <w:rFonts w:ascii="Times New Roman" w:eastAsia="Times New Roman" w:hAnsi="Times New Roman" w:cs="Times New Roman"/>
          <w:color w:val="000000"/>
          <w:kern w:val="0"/>
          <w:sz w:val="26"/>
          <w:szCs w:val="26"/>
          <w14:ligatures w14:val="none"/>
        </w:rPr>
        <w:t>2. Trong quá trình thực hiện nếu có vướng mắc, đề nghị phản ánh cho Tòa án nhân dân tối cao để hướng dẫn bổ sung kịp thời.</w:t>
      </w:r>
    </w:p>
    <w:tbl>
      <w:tblPr>
        <w:tblW w:w="5000" w:type="pct"/>
        <w:tblCellSpacing w:w="0" w:type="dxa"/>
        <w:tblCellMar>
          <w:left w:w="0" w:type="dxa"/>
          <w:right w:w="0" w:type="dxa"/>
        </w:tblCellMar>
        <w:tblLook w:val="04A0" w:firstRow="1" w:lastRow="0" w:firstColumn="1" w:lastColumn="0" w:noHBand="0" w:noVBand="1"/>
      </w:tblPr>
      <w:tblGrid>
        <w:gridCol w:w="4657"/>
        <w:gridCol w:w="4658"/>
      </w:tblGrid>
      <w:tr w:rsidR="006C70BC" w:rsidRPr="006C70BC" w:rsidTr="006C70BC">
        <w:trPr>
          <w:tblCellSpacing w:w="0" w:type="dxa"/>
        </w:trPr>
        <w:tc>
          <w:tcPr>
            <w:tcW w:w="2500" w:type="pct"/>
            <w:tcMar>
              <w:top w:w="0" w:type="dxa"/>
              <w:left w:w="108" w:type="dxa"/>
              <w:bottom w:w="0" w:type="dxa"/>
              <w:right w:w="108" w:type="dxa"/>
            </w:tcMar>
            <w:hideMark/>
          </w:tcPr>
          <w:p w:rsidR="006C70BC" w:rsidRPr="006C70BC" w:rsidRDefault="006C70BC" w:rsidP="00EB74E8">
            <w:pPr>
              <w:spacing w:before="120" w:after="120" w:line="234" w:lineRule="atLeast"/>
              <w:rPr>
                <w:rFonts w:ascii="Times New Roman" w:eastAsia="Times New Roman" w:hAnsi="Times New Roman" w:cs="Times New Roman"/>
                <w:kern w:val="0"/>
                <w:sz w:val="26"/>
                <w:szCs w:val="26"/>
                <w14:ligatures w14:val="none"/>
              </w:rPr>
            </w:pPr>
            <w:r w:rsidRPr="006C70BC">
              <w:rPr>
                <w:rFonts w:ascii="Times New Roman" w:eastAsia="Times New Roman" w:hAnsi="Times New Roman" w:cs="Times New Roman"/>
                <w:b/>
                <w:bCs/>
                <w:i/>
                <w:iCs/>
                <w:kern w:val="0"/>
                <w:sz w:val="26"/>
                <w:szCs w:val="26"/>
                <w14:ligatures w14:val="none"/>
              </w:rPr>
              <w:br/>
              <w:t>Nơi nhận:</w:t>
            </w:r>
            <w:r w:rsidRPr="006C70BC">
              <w:rPr>
                <w:rFonts w:ascii="Times New Roman" w:eastAsia="Times New Roman" w:hAnsi="Times New Roman" w:cs="Times New Roman"/>
                <w:b/>
                <w:bCs/>
                <w:i/>
                <w:iCs/>
                <w:kern w:val="0"/>
                <w:sz w:val="26"/>
                <w:szCs w:val="26"/>
                <w14:ligatures w14:val="none"/>
              </w:rPr>
              <w:br/>
            </w:r>
            <w:r w:rsidRPr="006C70BC">
              <w:rPr>
                <w:rFonts w:ascii="Times New Roman" w:eastAsia="Times New Roman" w:hAnsi="Times New Roman" w:cs="Times New Roman"/>
                <w:kern w:val="0"/>
                <w:sz w:val="20"/>
                <w:szCs w:val="20"/>
                <w14:ligatures w14:val="none"/>
              </w:rPr>
              <w:t>- Ủy ban Thường vụ Quốc hội (để giám sát);</w:t>
            </w:r>
            <w:r w:rsidRPr="006C70BC">
              <w:rPr>
                <w:rFonts w:ascii="Times New Roman" w:eastAsia="Times New Roman" w:hAnsi="Times New Roman" w:cs="Times New Roman"/>
                <w:kern w:val="0"/>
                <w:sz w:val="20"/>
                <w:szCs w:val="20"/>
                <w14:ligatures w14:val="none"/>
              </w:rPr>
              <w:br/>
              <w:t>- Ủy ban Pháp luật của Quốc hội (để giám sát);</w:t>
            </w:r>
            <w:r w:rsidRPr="006C70BC">
              <w:rPr>
                <w:rFonts w:ascii="Times New Roman" w:eastAsia="Times New Roman" w:hAnsi="Times New Roman" w:cs="Times New Roman"/>
                <w:kern w:val="0"/>
                <w:sz w:val="20"/>
                <w:szCs w:val="20"/>
                <w14:ligatures w14:val="none"/>
              </w:rPr>
              <w:br/>
              <w:t>- Ủy ban Tư pháp của Quốc hội (để giám sát);</w:t>
            </w:r>
            <w:r w:rsidRPr="006C70BC">
              <w:rPr>
                <w:rFonts w:ascii="Times New Roman" w:eastAsia="Times New Roman" w:hAnsi="Times New Roman" w:cs="Times New Roman"/>
                <w:kern w:val="0"/>
                <w:sz w:val="20"/>
                <w:szCs w:val="20"/>
                <w14:ligatures w14:val="none"/>
              </w:rPr>
              <w:br/>
              <w:t>- Ban Dân nguyện thuộc UBTVQH;</w:t>
            </w:r>
            <w:r w:rsidRPr="006C70BC">
              <w:rPr>
                <w:rFonts w:ascii="Times New Roman" w:eastAsia="Times New Roman" w:hAnsi="Times New Roman" w:cs="Times New Roman"/>
                <w:kern w:val="0"/>
                <w:sz w:val="20"/>
                <w:szCs w:val="20"/>
                <w14:ligatures w14:val="none"/>
              </w:rPr>
              <w:br/>
              <w:t>- Ban Nội chính Trung ương (để báo cáo);</w:t>
            </w:r>
            <w:r w:rsidRPr="006C70BC">
              <w:rPr>
                <w:rFonts w:ascii="Times New Roman" w:eastAsia="Times New Roman" w:hAnsi="Times New Roman" w:cs="Times New Roman"/>
                <w:kern w:val="0"/>
                <w:sz w:val="20"/>
                <w:szCs w:val="20"/>
                <w14:ligatures w14:val="none"/>
              </w:rPr>
              <w:br/>
              <w:t>- Văn phòng Trung ương Đảng (để báo cáo);</w:t>
            </w:r>
            <w:r w:rsidRPr="006C70BC">
              <w:rPr>
                <w:rFonts w:ascii="Times New Roman" w:eastAsia="Times New Roman" w:hAnsi="Times New Roman" w:cs="Times New Roman"/>
                <w:kern w:val="0"/>
                <w:sz w:val="20"/>
                <w:szCs w:val="20"/>
                <w14:ligatures w14:val="none"/>
              </w:rPr>
              <w:br/>
              <w:t>- Văn phòng Chủ tịch nước (để báo cáo);</w:t>
            </w:r>
            <w:r w:rsidRPr="006C70BC">
              <w:rPr>
                <w:rFonts w:ascii="Times New Roman" w:eastAsia="Times New Roman" w:hAnsi="Times New Roman" w:cs="Times New Roman"/>
                <w:kern w:val="0"/>
                <w:sz w:val="20"/>
                <w:szCs w:val="20"/>
                <w14:ligatures w14:val="none"/>
              </w:rPr>
              <w:br/>
              <w:t>- Văn phòng Chính phủ 02 bản (để đăng Công báo);</w:t>
            </w:r>
            <w:r w:rsidRPr="006C70BC">
              <w:rPr>
                <w:rFonts w:ascii="Times New Roman" w:eastAsia="Times New Roman" w:hAnsi="Times New Roman" w:cs="Times New Roman"/>
                <w:kern w:val="0"/>
                <w:sz w:val="20"/>
                <w:szCs w:val="20"/>
                <w14:ligatures w14:val="none"/>
              </w:rPr>
              <w:br/>
              <w:t>- Viện kiểm sát nhân dân tối cao (để phối hợp);</w:t>
            </w:r>
            <w:r w:rsidRPr="006C70BC">
              <w:rPr>
                <w:rFonts w:ascii="Times New Roman" w:eastAsia="Times New Roman" w:hAnsi="Times New Roman" w:cs="Times New Roman"/>
                <w:kern w:val="0"/>
                <w:sz w:val="20"/>
                <w:szCs w:val="20"/>
                <w14:ligatures w14:val="none"/>
              </w:rPr>
              <w:br/>
              <w:t>- Bộ Tư pháp (để phối hợp);</w:t>
            </w:r>
            <w:r w:rsidRPr="006C70BC">
              <w:rPr>
                <w:rFonts w:ascii="Times New Roman" w:eastAsia="Times New Roman" w:hAnsi="Times New Roman" w:cs="Times New Roman"/>
                <w:kern w:val="0"/>
                <w:sz w:val="20"/>
                <w:szCs w:val="20"/>
                <w14:ligatures w14:val="none"/>
              </w:rPr>
              <w:br/>
            </w:r>
            <w:r w:rsidRPr="006C70BC">
              <w:rPr>
                <w:rFonts w:ascii="Times New Roman" w:eastAsia="Times New Roman" w:hAnsi="Times New Roman" w:cs="Times New Roman"/>
                <w:kern w:val="0"/>
                <w:sz w:val="20"/>
                <w:szCs w:val="20"/>
                <w14:ligatures w14:val="none"/>
              </w:rPr>
              <w:lastRenderedPageBreak/>
              <w:t>- Các TAND và TAQS các cấp (để thực hiện);</w:t>
            </w:r>
            <w:r w:rsidRPr="006C70BC">
              <w:rPr>
                <w:rFonts w:ascii="Times New Roman" w:eastAsia="Times New Roman" w:hAnsi="Times New Roman" w:cs="Times New Roman"/>
                <w:kern w:val="0"/>
                <w:sz w:val="20"/>
                <w:szCs w:val="20"/>
                <w14:ligatures w14:val="none"/>
              </w:rPr>
              <w:br/>
              <w:t>- Các Thẩm phán và các đơn vị thuộc TANDTC (để thực hiện);</w:t>
            </w:r>
            <w:r w:rsidRPr="006C70BC">
              <w:rPr>
                <w:rFonts w:ascii="Times New Roman" w:eastAsia="Times New Roman" w:hAnsi="Times New Roman" w:cs="Times New Roman"/>
                <w:kern w:val="0"/>
                <w:sz w:val="20"/>
                <w:szCs w:val="20"/>
                <w14:ligatures w14:val="none"/>
              </w:rPr>
              <w:br/>
              <w:t>- Cổng Thông tin điện tử TANDTC (để đăng tải);</w:t>
            </w:r>
            <w:r w:rsidRPr="006C70BC">
              <w:rPr>
                <w:rFonts w:ascii="Times New Roman" w:eastAsia="Times New Roman" w:hAnsi="Times New Roman" w:cs="Times New Roman"/>
                <w:kern w:val="0"/>
                <w:sz w:val="20"/>
                <w:szCs w:val="20"/>
                <w14:ligatures w14:val="none"/>
              </w:rPr>
              <w:br/>
              <w:t>- Lưu: VT, Vụ PC&amp;QLKH TANDTC.</w:t>
            </w:r>
          </w:p>
        </w:tc>
        <w:tc>
          <w:tcPr>
            <w:tcW w:w="2500" w:type="pct"/>
            <w:tcMar>
              <w:top w:w="0" w:type="dxa"/>
              <w:left w:w="108" w:type="dxa"/>
              <w:bottom w:w="0" w:type="dxa"/>
              <w:right w:w="108" w:type="dxa"/>
            </w:tcMar>
            <w:hideMark/>
          </w:tcPr>
          <w:p w:rsidR="006C70BC" w:rsidRPr="006C70BC" w:rsidRDefault="006C70BC" w:rsidP="00EB74E8">
            <w:pPr>
              <w:spacing w:before="120" w:after="120" w:line="234" w:lineRule="atLeast"/>
              <w:jc w:val="center"/>
              <w:rPr>
                <w:rFonts w:ascii="Times New Roman" w:eastAsia="Times New Roman" w:hAnsi="Times New Roman" w:cs="Times New Roman"/>
                <w:kern w:val="0"/>
                <w:sz w:val="26"/>
                <w:szCs w:val="26"/>
                <w14:ligatures w14:val="none"/>
              </w:rPr>
            </w:pPr>
            <w:r w:rsidRPr="006C70BC">
              <w:rPr>
                <w:rFonts w:ascii="Times New Roman" w:eastAsia="Times New Roman" w:hAnsi="Times New Roman" w:cs="Times New Roman"/>
                <w:b/>
                <w:bCs/>
                <w:kern w:val="0"/>
                <w:sz w:val="26"/>
                <w:szCs w:val="26"/>
                <w14:ligatures w14:val="none"/>
              </w:rPr>
              <w:lastRenderedPageBreak/>
              <w:t>TM. HỘI ĐỒNG THẨM PHÁN</w:t>
            </w:r>
            <w:r w:rsidRPr="006C70BC">
              <w:rPr>
                <w:rFonts w:ascii="Times New Roman" w:eastAsia="Times New Roman" w:hAnsi="Times New Roman" w:cs="Times New Roman"/>
                <w:b/>
                <w:bCs/>
                <w:kern w:val="0"/>
                <w:sz w:val="26"/>
                <w:szCs w:val="26"/>
                <w14:ligatures w14:val="none"/>
              </w:rPr>
              <w:br/>
              <w:t>CHÁNH ÁN</w:t>
            </w:r>
            <w:r w:rsidRPr="006C70BC">
              <w:rPr>
                <w:rFonts w:ascii="Times New Roman" w:eastAsia="Times New Roman" w:hAnsi="Times New Roman" w:cs="Times New Roman"/>
                <w:b/>
                <w:bCs/>
                <w:kern w:val="0"/>
                <w:sz w:val="26"/>
                <w:szCs w:val="26"/>
                <w14:ligatures w14:val="none"/>
              </w:rPr>
              <w:br/>
            </w:r>
            <w:r w:rsidRPr="006C70BC">
              <w:rPr>
                <w:rFonts w:ascii="Times New Roman" w:eastAsia="Times New Roman" w:hAnsi="Times New Roman" w:cs="Times New Roman"/>
                <w:b/>
                <w:bCs/>
                <w:kern w:val="0"/>
                <w:sz w:val="26"/>
                <w:szCs w:val="26"/>
                <w14:ligatures w14:val="none"/>
              </w:rPr>
              <w:br/>
            </w:r>
            <w:r w:rsidRPr="006C70BC">
              <w:rPr>
                <w:rFonts w:ascii="Times New Roman" w:eastAsia="Times New Roman" w:hAnsi="Times New Roman" w:cs="Times New Roman"/>
                <w:b/>
                <w:bCs/>
                <w:kern w:val="0"/>
                <w:sz w:val="26"/>
                <w:szCs w:val="26"/>
                <w14:ligatures w14:val="none"/>
              </w:rPr>
              <w:br/>
            </w:r>
            <w:r w:rsidRPr="006C70BC">
              <w:rPr>
                <w:rFonts w:ascii="Times New Roman" w:eastAsia="Times New Roman" w:hAnsi="Times New Roman" w:cs="Times New Roman"/>
                <w:b/>
                <w:bCs/>
                <w:kern w:val="0"/>
                <w:sz w:val="26"/>
                <w:szCs w:val="26"/>
                <w14:ligatures w14:val="none"/>
              </w:rPr>
              <w:br/>
            </w:r>
            <w:r w:rsidRPr="006C70BC">
              <w:rPr>
                <w:rFonts w:ascii="Times New Roman" w:eastAsia="Times New Roman" w:hAnsi="Times New Roman" w:cs="Times New Roman"/>
                <w:b/>
                <w:bCs/>
                <w:kern w:val="0"/>
                <w:sz w:val="26"/>
                <w:szCs w:val="26"/>
                <w14:ligatures w14:val="none"/>
              </w:rPr>
              <w:br/>
              <w:t>Nguyễn Hòa Bình</w:t>
            </w:r>
          </w:p>
        </w:tc>
      </w:tr>
    </w:tbl>
    <w:p w:rsidR="00AB02FF" w:rsidRPr="00EB74E8" w:rsidRDefault="00AB02FF" w:rsidP="00EB74E8">
      <w:pPr>
        <w:jc w:val="both"/>
        <w:rPr>
          <w:rFonts w:ascii="Times New Roman" w:hAnsi="Times New Roman" w:cs="Times New Roman"/>
          <w:sz w:val="26"/>
          <w:szCs w:val="26"/>
        </w:rPr>
      </w:pPr>
    </w:p>
    <w:sectPr w:rsidR="00AB02FF" w:rsidRPr="00EB74E8" w:rsidSect="00BC50F7">
      <w:pgSz w:w="11907" w:h="16840" w:code="9"/>
      <w:pgMar w:top="864" w:right="1008" w:bottom="864" w:left="1584" w:header="288"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3195"/>
    <w:multiLevelType w:val="multilevel"/>
    <w:tmpl w:val="B726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623E58"/>
    <w:multiLevelType w:val="multilevel"/>
    <w:tmpl w:val="E854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BC"/>
    <w:rsid w:val="000B43C0"/>
    <w:rsid w:val="00625A9A"/>
    <w:rsid w:val="006C70BC"/>
    <w:rsid w:val="007D6280"/>
    <w:rsid w:val="007E5023"/>
    <w:rsid w:val="009A0F0E"/>
    <w:rsid w:val="00AB02FF"/>
    <w:rsid w:val="00AB484E"/>
    <w:rsid w:val="00BC50F7"/>
    <w:rsid w:val="00C244B5"/>
    <w:rsid w:val="00E25249"/>
    <w:rsid w:val="00EB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59C8"/>
  <w15:chartTrackingRefBased/>
  <w15:docId w15:val="{CDAAB851-0150-43E1-9ACA-086CE7DE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0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C7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54635">
      <w:bodyDiv w:val="1"/>
      <w:marLeft w:val="0"/>
      <w:marRight w:val="0"/>
      <w:marTop w:val="0"/>
      <w:marBottom w:val="0"/>
      <w:divBdr>
        <w:top w:val="none" w:sz="0" w:space="0" w:color="auto"/>
        <w:left w:val="none" w:sz="0" w:space="0" w:color="auto"/>
        <w:bottom w:val="none" w:sz="0" w:space="0" w:color="auto"/>
        <w:right w:val="none" w:sz="0" w:space="0" w:color="auto"/>
      </w:divBdr>
      <w:divsChild>
        <w:div w:id="631012036">
          <w:marLeft w:val="0"/>
          <w:marRight w:val="0"/>
          <w:marTop w:val="0"/>
          <w:marBottom w:val="0"/>
          <w:divBdr>
            <w:top w:val="none" w:sz="0" w:space="0" w:color="auto"/>
            <w:left w:val="none" w:sz="0" w:space="0" w:color="auto"/>
            <w:bottom w:val="none" w:sz="0" w:space="0" w:color="auto"/>
            <w:right w:val="none" w:sz="0" w:space="0" w:color="auto"/>
          </w:divBdr>
          <w:divsChild>
            <w:div w:id="760099447">
              <w:marLeft w:val="0"/>
              <w:marRight w:val="0"/>
              <w:marTop w:val="0"/>
              <w:marBottom w:val="0"/>
              <w:divBdr>
                <w:top w:val="single" w:sz="12" w:space="0" w:color="F89B1A"/>
                <w:left w:val="single" w:sz="6" w:space="0" w:color="C8D4DB"/>
                <w:bottom w:val="none" w:sz="0" w:space="0" w:color="auto"/>
                <w:right w:val="single" w:sz="6" w:space="0" w:color="C8D4DB"/>
              </w:divBdr>
              <w:divsChild>
                <w:div w:id="1523007450">
                  <w:marLeft w:val="0"/>
                  <w:marRight w:val="0"/>
                  <w:marTop w:val="0"/>
                  <w:marBottom w:val="0"/>
                  <w:divBdr>
                    <w:top w:val="none" w:sz="0" w:space="0" w:color="auto"/>
                    <w:left w:val="none" w:sz="0" w:space="0" w:color="auto"/>
                    <w:bottom w:val="none" w:sz="0" w:space="0" w:color="auto"/>
                    <w:right w:val="none" w:sz="0" w:space="0" w:color="auto"/>
                  </w:divBdr>
                  <w:divsChild>
                    <w:div w:id="681705878">
                      <w:marLeft w:val="0"/>
                      <w:marRight w:val="0"/>
                      <w:marTop w:val="0"/>
                      <w:marBottom w:val="0"/>
                      <w:divBdr>
                        <w:top w:val="none" w:sz="0" w:space="0" w:color="auto"/>
                        <w:left w:val="none" w:sz="0" w:space="0" w:color="auto"/>
                        <w:bottom w:val="none" w:sz="0" w:space="0" w:color="auto"/>
                        <w:right w:val="none" w:sz="0" w:space="0" w:color="auto"/>
                      </w:divBdr>
                      <w:divsChild>
                        <w:div w:id="1554078769">
                          <w:marLeft w:val="0"/>
                          <w:marRight w:val="225"/>
                          <w:marTop w:val="0"/>
                          <w:marBottom w:val="0"/>
                          <w:divBdr>
                            <w:top w:val="none" w:sz="0" w:space="0" w:color="auto"/>
                            <w:left w:val="none" w:sz="0" w:space="0" w:color="auto"/>
                            <w:bottom w:val="none" w:sz="0" w:space="0" w:color="auto"/>
                            <w:right w:val="none" w:sz="0" w:space="0" w:color="auto"/>
                          </w:divBdr>
                          <w:divsChild>
                            <w:div w:id="1827356185">
                              <w:marLeft w:val="0"/>
                              <w:marRight w:val="0"/>
                              <w:marTop w:val="0"/>
                              <w:marBottom w:val="0"/>
                              <w:divBdr>
                                <w:top w:val="none" w:sz="0" w:space="0" w:color="auto"/>
                                <w:left w:val="none" w:sz="0" w:space="0" w:color="auto"/>
                                <w:bottom w:val="none" w:sz="0" w:space="0" w:color="auto"/>
                                <w:right w:val="none" w:sz="0" w:space="0" w:color="auto"/>
                              </w:divBdr>
                              <w:divsChild>
                                <w:div w:id="1414156560">
                                  <w:marLeft w:val="0"/>
                                  <w:marRight w:val="0"/>
                                  <w:marTop w:val="0"/>
                                  <w:marBottom w:val="0"/>
                                  <w:divBdr>
                                    <w:top w:val="none" w:sz="0" w:space="0" w:color="auto"/>
                                    <w:left w:val="none" w:sz="0" w:space="0" w:color="auto"/>
                                    <w:bottom w:val="none" w:sz="0" w:space="0" w:color="auto"/>
                                    <w:right w:val="none" w:sz="0" w:space="0" w:color="auto"/>
                                  </w:divBdr>
                                  <w:divsChild>
                                    <w:div w:id="1817137540">
                                      <w:marLeft w:val="0"/>
                                      <w:marRight w:val="0"/>
                                      <w:marTop w:val="0"/>
                                      <w:marBottom w:val="0"/>
                                      <w:divBdr>
                                        <w:top w:val="none" w:sz="0" w:space="0" w:color="auto"/>
                                        <w:left w:val="none" w:sz="0" w:space="0" w:color="auto"/>
                                        <w:bottom w:val="none" w:sz="0" w:space="0" w:color="auto"/>
                                        <w:right w:val="none" w:sz="0" w:space="0" w:color="auto"/>
                                      </w:divBdr>
                                      <w:divsChild>
                                        <w:div w:id="2305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19879">
                          <w:marLeft w:val="0"/>
                          <w:marRight w:val="0"/>
                          <w:marTop w:val="150"/>
                          <w:marBottom w:val="0"/>
                          <w:divBdr>
                            <w:top w:val="none" w:sz="0" w:space="0" w:color="auto"/>
                            <w:left w:val="none" w:sz="0" w:space="0" w:color="auto"/>
                            <w:bottom w:val="none" w:sz="0" w:space="0" w:color="auto"/>
                            <w:right w:val="none" w:sz="0" w:space="0" w:color="auto"/>
                          </w:divBdr>
                          <w:divsChild>
                            <w:div w:id="570312266">
                              <w:marLeft w:val="0"/>
                              <w:marRight w:val="0"/>
                              <w:marTop w:val="0"/>
                              <w:marBottom w:val="0"/>
                              <w:divBdr>
                                <w:top w:val="single" w:sz="2" w:space="0" w:color="BDC8D5"/>
                                <w:left w:val="single" w:sz="2" w:space="0" w:color="BDC8D5"/>
                                <w:bottom w:val="single" w:sz="2" w:space="8" w:color="BDC8D5"/>
                                <w:right w:val="single" w:sz="2" w:space="0" w:color="BDC8D5"/>
                              </w:divBdr>
                              <w:divsChild>
                                <w:div w:id="17257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 su Giap</dc:creator>
  <cp:keywords/>
  <dc:description/>
  <cp:lastModifiedBy>Luat su Giap</cp:lastModifiedBy>
  <cp:revision>3</cp:revision>
  <dcterms:created xsi:type="dcterms:W3CDTF">2024-05-24T05:15:00Z</dcterms:created>
  <dcterms:modified xsi:type="dcterms:W3CDTF">2024-05-24T05:26:00Z</dcterms:modified>
</cp:coreProperties>
</file>