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25"/>
        <w:gridCol w:w="5475"/>
      </w:tblGrid>
      <w:tr w:rsidR="00ED57DB" w:rsidRPr="00ED57DB" w:rsidTr="00ED57DB">
        <w:trPr>
          <w:tblCellSpacing w:w="0" w:type="dxa"/>
        </w:trPr>
        <w:tc>
          <w:tcPr>
            <w:tcW w:w="3525" w:type="dxa"/>
            <w:vAlign w:val="center"/>
            <w:hideMark/>
          </w:tcPr>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bookmarkStart w:id="0" w:name="_GoBack"/>
            <w:bookmarkEnd w:id="0"/>
            <w:r w:rsidRPr="00ED57DB">
              <w:rPr>
                <w:rFonts w:ascii="Times New Roman" w:eastAsia="Times New Roman" w:hAnsi="Times New Roman" w:cs="Times New Roman"/>
                <w:b/>
                <w:bCs/>
                <w:sz w:val="24"/>
                <w:szCs w:val="24"/>
                <w:lang w:eastAsia="vi-VN"/>
              </w:rPr>
              <w:t>QUỐC HỘI</w:t>
            </w:r>
            <w:r w:rsidRPr="00ED57DB">
              <w:rPr>
                <w:rFonts w:ascii="Times New Roman" w:eastAsia="Times New Roman" w:hAnsi="Times New Roman" w:cs="Times New Roman"/>
                <w:sz w:val="24"/>
                <w:szCs w:val="24"/>
                <w:lang w:eastAsia="vi-VN"/>
              </w:rPr>
              <w:br/>
              <w:t>Nghị quyết số: 42/2017/QH14</w:t>
            </w:r>
          </w:p>
        </w:tc>
        <w:tc>
          <w:tcPr>
            <w:tcW w:w="5475" w:type="dxa"/>
            <w:vAlign w:val="center"/>
            <w:hideMark/>
          </w:tcPr>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CỘNG HÒA XÃ HỘI CHỦ NGHĨA VIỆT NAM</w:t>
            </w:r>
            <w:r w:rsidRPr="00ED57DB">
              <w:rPr>
                <w:rFonts w:ascii="Times New Roman" w:eastAsia="Times New Roman" w:hAnsi="Times New Roman" w:cs="Times New Roman"/>
                <w:sz w:val="24"/>
                <w:szCs w:val="24"/>
                <w:lang w:eastAsia="vi-VN"/>
              </w:rPr>
              <w:br/>
            </w:r>
            <w:r w:rsidRPr="00ED57DB">
              <w:rPr>
                <w:rFonts w:ascii="Times New Roman" w:eastAsia="Times New Roman" w:hAnsi="Times New Roman" w:cs="Times New Roman"/>
                <w:b/>
                <w:bCs/>
                <w:sz w:val="24"/>
                <w:szCs w:val="24"/>
                <w:lang w:eastAsia="vi-VN"/>
              </w:rPr>
              <w:t>Độc lập - Tự do - Hạnh phúc</w:t>
            </w:r>
          </w:p>
        </w:tc>
      </w:tr>
      <w:tr w:rsidR="00ED57DB" w:rsidRPr="00ED57DB" w:rsidTr="00ED57DB">
        <w:trPr>
          <w:tblCellSpacing w:w="0" w:type="dxa"/>
        </w:trPr>
        <w:tc>
          <w:tcPr>
            <w:tcW w:w="3525" w:type="dxa"/>
            <w:vAlign w:val="center"/>
            <w:hideMark/>
          </w:tcPr>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tc>
        <w:tc>
          <w:tcPr>
            <w:tcW w:w="5475" w:type="dxa"/>
            <w:vAlign w:val="center"/>
            <w:hideMark/>
          </w:tcPr>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tc>
      </w:tr>
    </w:tbl>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NGHỊ QUYẾT</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Về thí điểm xử lý nợ xấu của các tổ chức tín dụng</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QUỐC HỘI</w:t>
      </w:r>
      <w:r w:rsidRPr="00ED57DB">
        <w:rPr>
          <w:rFonts w:ascii="Times New Roman" w:eastAsia="Times New Roman" w:hAnsi="Times New Roman" w:cs="Times New Roman"/>
          <w:sz w:val="28"/>
          <w:szCs w:val="28"/>
          <w:lang w:eastAsia="vi-VN"/>
        </w:rPr>
        <w:b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Hiến pháp nước Cộng hòa xã hội chủ nghĩa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Luật Tổ chức Quốc hội số 57/2014/QH13;</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Luật Ban hành văn bản quy phạm pháp luật số 80/2015/QH13;</w:t>
      </w:r>
    </w:p>
    <w:p w:rsidR="00ED57DB" w:rsidRPr="00ED57DB" w:rsidRDefault="00ED57DB" w:rsidP="00025E71">
      <w:pPr>
        <w:spacing w:before="100" w:beforeAutospacing="1" w:after="100" w:afterAutospacing="1" w:line="240" w:lineRule="auto"/>
        <w:jc w:val="center"/>
        <w:rPr>
          <w:rFonts w:ascii="Times New Roman" w:eastAsia="Times New Roman" w:hAnsi="Times New Roman" w:cs="Times New Roman"/>
          <w:sz w:val="24"/>
          <w:szCs w:val="24"/>
          <w:lang w:val="en-US" w:eastAsia="vi-VN"/>
        </w:rPr>
      </w:pPr>
      <w:r w:rsidRPr="00ED57DB">
        <w:rPr>
          <w:rFonts w:ascii="Times New Roman" w:eastAsia="Times New Roman" w:hAnsi="Times New Roman" w:cs="Times New Roman"/>
          <w:b/>
          <w:bCs/>
          <w:sz w:val="24"/>
          <w:szCs w:val="24"/>
          <w:lang w:eastAsia="vi-VN"/>
        </w:rPr>
        <w:t>QUYẾT NGHỊ:</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1. Phạm vi điều chỉnh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Nghị quyết này quy định thí điểm một số chính sách về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 quyền, nghĩa vụ của cơ quan, tổ chức, cá nhân có liên quan trong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2. Đối tượng áp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mà Nhà nước sở hữu 100% vốn điều lệ do Chính phủ thành lập để xử lý nợ xấu của tổ chức tín dụng (sau đây gọi là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Cơ quan, tổ chức, cá nhân có liên quan.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3. Nguyên tắc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1</w:t>
      </w:r>
      <w:r w:rsidRPr="00025E71">
        <w:rPr>
          <w:rFonts w:ascii="Times New Roman" w:eastAsia="Times New Roman" w:hAnsi="Times New Roman" w:cs="Times New Roman"/>
          <w:i/>
          <w:iCs/>
          <w:sz w:val="28"/>
          <w:szCs w:val="28"/>
          <w:lang w:eastAsia="vi-VN"/>
        </w:rPr>
        <w:t>.</w:t>
      </w:r>
      <w:r w:rsidRPr="00ED57DB">
        <w:rPr>
          <w:rFonts w:ascii="Times New Roman" w:eastAsia="Times New Roman" w:hAnsi="Times New Roman" w:cs="Times New Roman"/>
          <w:sz w:val="28"/>
          <w:szCs w:val="28"/>
          <w:lang w:eastAsia="vi-VN"/>
        </w:rPr>
        <w:t xml:space="preserve"> Bảo đảm công khai, minh bạch, bảo vệ quyền, lợi ích hợp pháp, chính đáng của tổ chức tín dụng, chi nhánh ngân hàng nước ngoài, tổ chức mua bán, xử lý nợ xấu và cơ quan, tổ chức, cá nhân có liên quan.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Phù hợp với cơ chế thị trường trên nguyên tắc thận trọng, bảo đảm quyền lợi của người gửi tiền và giữ vững sự ổn định, an toàn hệ thống.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Không sử dụng ngân sách nhà nước để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Cơ quan, tổ chức, cá nhân có hành vi vi phạm pháp luật để xảy ra nợ xấu và trong quá trình xử lý nợ xấu phải chịu trách nhiệm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4. Nợ xấu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Nợ xấu quy định tại Nghị quyết này bao gồm: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Khoản nợ được hình thành và xác định là nợ xấu trước ngày 15 tháng 8 năm 2017;</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b) Khoản nợ được hình thành trước ngày 15 tháng 8 năm 2017 và được xác định là nợ xấu trong thời gian Nghị quyết này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Việc xác định khoản nợ là nợ xấu căn cứ vào Phụ lục ban hành kèm theo Nghị quyết này. Trường hợp cần thiết, Ủy ban Thường vụ Quốc hội xem xét, sửa đổi Phụ lục theo đề nghị của Chính phủ và báo cáo Quốc hội tại kỳ họp gần nhất.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tín dụng, chi nhánh ngân hàng nước ngoài, tổ chức mua bán, xử lý nợ xấu có trách nhiệm xác nhận bằng văn bản khoản nợ là nợ xấu khi có yêu cầu của cơ quan nhà nước có thẩm quyền trong quá trình xử lý nợ xấu, tài sản bảo đảm của khoản nợ xấu theo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5. Bán nợ xấu và tài sản bảo đảm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6</w:t>
      </w:r>
      <w:r w:rsidRPr="00ED57DB">
        <w:rPr>
          <w:rFonts w:ascii="Times New Roman" w:eastAsia="Times New Roman" w:hAnsi="Times New Roman" w:cs="Times New Roman"/>
          <w:sz w:val="28"/>
          <w:szCs w:val="28"/>
          <w:lang w:eastAsia="vi-VN"/>
        </w:rPr>
        <w:t xml:space="preserve">. </w:t>
      </w:r>
      <w:r w:rsidRPr="00025E71">
        <w:rPr>
          <w:rFonts w:ascii="Times New Roman" w:eastAsia="Times New Roman" w:hAnsi="Times New Roman" w:cs="Times New Roman"/>
          <w:b/>
          <w:bCs/>
          <w:sz w:val="28"/>
          <w:szCs w:val="28"/>
          <w:lang w:eastAsia="vi-VN"/>
        </w:rPr>
        <w:t xml:space="preserve">Mua, bán nợ xấu của tổ chức mua bán, xử lý nợ xấu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2. Tổ chức mua bán, xử lý nợ xấu được bán nợ xấu cho pháp nhân, cá nhân, bao gồm cả doanh nghiệp không có chức năng kinh doanh mua, bán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mua bán, xử lý nợ xấu được thỏa thuận với tổ chức tín dụng quy định tại khoản 1 Điều này mua khoản nợ xấu với giá mua bằng giá trị định giá của tổ chức định giá độc lập; xử lý, bán, thu hồi nợ theo quy định của pháp luật và phân chia phần giá trị còn lại của số tiền thu hồi được từ khoản nợ xấu này sau khi trừ giá mua và các chi phí xử lý.</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mua bán, xử lý nợ xấu phải thống nhất với tổ chức tín dụng lựa chọn tổ chức định giá độc lập.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7. Quyền thu giữ tài sản bảo đảm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Khi xảy ra trường hợp xử lý tài sản bảo đảm theo quy định tại Điều 299 của Bộ luật Dân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Tại hợp đồng bảo đảm có thỏa thuận về việc bên bảo đảm đồng ý cho tổ chức tín dụng, chi nhánh ngân hàng nước ngoài có quyền thu giữ tài sản bảo đảm của khoản nợ xấu khi xảy ra trường hợp xử lý tài sản bảo đảm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Giao dịch bảo đảm hoặc biện pháp bảo đảm đã được đăng ký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w:t>
      </w:r>
      <w:r w:rsidRPr="00ED57DB">
        <w:rPr>
          <w:rFonts w:ascii="Times New Roman" w:eastAsia="Times New Roman" w:hAnsi="Times New Roman" w:cs="Times New Roman"/>
          <w:sz w:val="28"/>
          <w:szCs w:val="28"/>
          <w:lang w:eastAsia="vi-VN"/>
        </w:rPr>
        <w:lastRenderedPageBreak/>
        <w:t>bị kê biên hoặc áp dụng biện pháp bảo đảm thi hành án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đ) Tổ chức tín dụng, chi nhánh ngân hàng nước ngoài, tổ chức mua bán, xử lý nợ xấu đã hoàn thành nghĩa vụ công khai thông tin theo quy định tại khoản 3 hoặc khoản 4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Đăng tải thông tin trên trang thông tin điện tử của mình;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Gửi văn bản thông báo cho Ủy ban nhân dân cấp xã và cơ quan Công an nơi có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Niêm yết văn bản thông báo tại trụ sở Ủy ban nhân dân cấp xã nơi bên bảo đảm đăng ký địa chỉ theo hợp đồng bảo đảm và trụ sở Ủy ban nhân dân cấp xã nơi có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d) Thông báo cho bên bảo đảm bằng văn bản theo đường bưu điện có bảo đảm đến địa chỉ của bên bảo đảm theo hợp đồng bảo đảm hoặc gửi trực tiếp cho bên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Tổ chức tín dụng, chi nhánh ngân hàng nước ngoài, tổ chức mua bán, xử lý nợ xấu thực hiện công khai thông tin về việc tiến hành thu giữ tài sản bảo đảm là động sản theo quy định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w:t>
      </w:r>
      <w:r w:rsidRPr="00ED57DB">
        <w:rPr>
          <w:rFonts w:ascii="Times New Roman" w:eastAsia="Times New Roman" w:hAnsi="Times New Roman" w:cs="Times New Roman"/>
          <w:sz w:val="28"/>
          <w:szCs w:val="28"/>
          <w:lang w:eastAsia="vi-VN"/>
        </w:rPr>
        <w:lastRenderedPageBreak/>
        <w:t>không có mặt theo thông báo của tổ chức tín dụng, chi nhánh ngân hàng nước ngoài, tổ chức mua bán, xử lý nợ xấu, đại diện Ủy ban nhân dân cấp xã nơi tiến hành thu giữ tài sản bảo đảm tham gia chứng kiến và ký biên bản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8. Áp dụng thủ tục rút gọn trong giải quyết tranh chấp liên quan đến tài sản bảo đảm tại Tòa án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Tòa án áp dụng thủ tục rút gọn để giải quyết tranh chấp về nghĩa vụ giao tài sản bảo đảm hoặc tranh chấp về quyền xử lý tài sản bảo đảm của khoản nợ xấu của tổ chức tín dụng, chi nhánh ngân hàng nước ngoài, tổ chức mua bán, xử lý nợ xấu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Trong hợp đồng bảo đảm có thỏa thuận về việc bên bảo đảm có nghĩa vụ giao tài sản bảo đảm của khoản nợ xấu cho bên nhận bảo đảm hoặc tổ chức tín dụng, chi nhánh ngân hàng nước ngoài, tổ chức mua bán, xử lý nợ xấu có quyền xử lý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Giao dịch bảo đảm hoặc biện pháp bảo đảm đã được đăng ký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giải trình được chứng cứ về quyền sở hữu hợp pháp tài sản và có thỏa thuận thống nhất về việc xử lý tài sản.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Việc giải quyết tranh chấp quy định tại khoản 1 Điều này được thực hiện theo thủ tục rút gọn quy định tại Bộ luật Tố tụng dân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3. Tòa án nhân dân tối cao hướng dẫn thực hiện quy định tại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9. Mua, bán khoản nợ xấu có tài sản bảo đảm là quyền sử dụng đất, tài sản gắn liền với đất, tài sản gắn liền với đất hình thành trong tương lai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Bộ trưởng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10. Xử lý tài sản bảo đảm là dự án bất động sản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chi nhánh ngân hàng nước ngoài, tổ chức mua bán, xử lý nợ xấu được chuyển nhượng tài sản bảo đảm của khoản nợ xấu là dự án bất động sản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Dự án đã được cơ quan nhà nước có thẩm quyền phê duyệt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Có quyết định giao đất, cho thuê đất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Dự án không có tranh chấp về quyền sử dụng đất đã được thụ lý nhưng chưa được giải quyết hoặc đang được giải quyết tại Tòa án có thẩm quyền; không đang bị kê biên để bảo đảm thi hành án hoặc để chấp hành quyết định hành chính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d) Không có quyết định thu hồi dự án, thu hồi đất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11. Kê biên tài sản bảo đảm của bên phải thi hành án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12. Thứ tự ưu tiên thanh toán khi xử lý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13. Bán nợ xấu có tài sản bảo đảm đang bị kê biên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được quyền bán khoản nợ xấu mà khoản nợ xấu đó có tài sản bảo đảm đang bị kê biên cho tổ chức mua bán, xử lý nợ xấu, doanh nghiệp có chức năng kinh doanh mua, bán nợ. Tổ chức tín dụng có trách nhiệm cung cấp đầy đủ, trung thực thông tin về tình trạng bị kê biên của tài sản bảo đảm trước khi thực hiện mua, bán khoản nợ xấu; bên mua tự xác định rủi ro đối với việc mua khoản nợ này. Việc bán tài sản bảo đảm đang bị kê biên được thực hiện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14. Hoàn trả tài sản bảo đảm là vật chứng trong vụ án hình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w:t>
      </w:r>
      <w:r w:rsidRPr="00ED57DB">
        <w:rPr>
          <w:rFonts w:ascii="Times New Roman" w:eastAsia="Times New Roman" w:hAnsi="Times New Roman" w:cs="Times New Roman"/>
          <w:sz w:val="28"/>
          <w:szCs w:val="28"/>
          <w:lang w:eastAsia="vi-VN"/>
        </w:rPr>
        <w:lastRenderedPageBreak/>
        <w:t>nghị của bên nhận bảo đảm là tổ chức tín dụng, chi nhánh ngân hàng nước ngoài,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15. Chuyển nhượng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Việc nộp thuế của bên bảo đảm, bên nhận chuyển nhượng liên quan đến chuyển nhượng tài sản bảo đảm được thực hiện theo quy định của pháp luật về thuế. Bên nhận bảo đảm, bên nhận chuyển nhượng không phải thực hiện nghĩa vụ thuế, phí khác của bên bảo đảm từ số tiền chuyển nhượng tài sản bảo đảm khi thực hiện thủ tục đăng ký, thay đổi quyền sở hữu, quyền sử dụng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16. Phân bổ lãi dự thu, chêch lệch khi bán khoản nợ xấu của tổ chức tín dụng,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được phân bổ số lãi dự thu đã ghi nhận của khoản nợ xấu của tổ chức tín dụng chưa thoái theo quy định, chênh lệch giữa giá trị ghi sổ của khoản nợ đang hạch toán trong bảng cân đối kế toán với giá bán khoản nợ xấu và số tiền dự phòng cụ thể đã trích lập cho khoản nợ này vào kết quả hoạt động kinh doanh hằng năm theo các nguyên tắc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Mức phân bổ hằng năm tối thiểu là mức chênh lệch thu chi từ kết quả kinh doanh hằng năm của tổ chức tín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Thời hạn phân bổ số lãi dự thu tối đa là 10 năm, trừ trường hợp quy định tại khoản 2 Điều này; thời hạn phân bổ chênh lệch giữa giá trị ghi sổ của khoản nợ đang hạch toán trong bảng cân đối kế toán với giá bán khoản nợ xấu và số tiền dự phòng cụ thể đã trích lập cho khoản nợ này tối đa là 05 năm.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Đối với lãi dự thu của khoản nợ xấu bán cho tổ chức mua bán, xử lý nợ xấu chưa thoái theo quy định thì thời gian phân bổ lãi dự thu tối đa không vượt quá thời hạn còn lại của trái phiếu đặc biệt của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tín dụng chỉ được phân bổ số lãi dự thu theo quy định tại khoản 1 và khoản 2 Điều này đối với số lãi dự thu đã ghi nhận đến hết ngày 31 tháng 12 năm 2016.</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4. Tổ chức mua bán, xử lý nợ xấu được phân bổ chênh lệch giữa giá trị ghi sổ của khoản nợ đang hạch toán trong bảng cân đối kế toán với giá bán khoản nợ </w:t>
      </w:r>
      <w:r w:rsidRPr="00ED57DB">
        <w:rPr>
          <w:rFonts w:ascii="Times New Roman" w:eastAsia="Times New Roman" w:hAnsi="Times New Roman" w:cs="Times New Roman"/>
          <w:sz w:val="28"/>
          <w:szCs w:val="28"/>
          <w:lang w:eastAsia="vi-VN"/>
        </w:rPr>
        <w:lastRenderedPageBreak/>
        <w:t>xấu đã mua theo giá trị thị trường và số tiền dự phòng cụ thể đã trích lập cho khoản nợ này vào kết quả hoạt động kinh doanh hằng năm với mức phân bổ tối thiểu là chênh lệch thu chi.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17. Áp dụng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Việc xử lý nợ xấu, xử lý tài sản bảo đảm của khoản nợ xấu của tổ chức tín dụng, chi nhánh ngân hàng nước ngoài, tổ chức mua bán, xử lý nợ xấu được thực hiện theo quy định của Nghị quyết này. Trường hợp Nghị quyết này không có quy định thì áp dụng quy định của pháp luật hiện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Trường hợp có quy định khác nhau giữa Nghị quyết này và luật khác về cùng một vấn đề về xử lý nợ xấu và xử lý tài sản bảo đảm của khoản nợ xấu của tổ chức tín dụng, chi nhánh ngân hàng nước ngoài, tổ chức mua bán, xử lý nợ xấu thì áp dụng quy định của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Ngân hàng chính sách được áp dụng quy định của Nghị quyết này để xử lý nợ xấu, xử lý tài sản bảo đảm của khoản nợ xấu của ngân hàng chính sách.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18. Quy định chuyển tiếp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Việc xử lý chuyển tiếp sau khi Nghị quyết này hết hiệu lực thi hành được thực hiện như sau: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Thỏa thuận giữa tổ chức mua bán, xử lý nợ xấu với tổ chức tín dụng quy định tại khoản 3 Điều 6 của Nghị quyết này đã có hiệu lực trong thời gian Nghị quyết có hiệu lực thi hành được tiếp tục thực hiện cho đến khi thực hiện xong thỏa thuận đó;</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2. Tổ chức tín dụng, chi nhánh ngân hàng nước ngoài, tổ chức mua bán, xử lý nợ xấu được tiếp tục thực hiện quyền thu giữ tài sản bảo đảm theo quy định tại Điều 7 của Nghị quyết này trong trường hợp đã thực hiện việc công khai thông tin theo quy định tại khoản 3 hoặc khoản 4 Điều 7 của Nghị quyết này trong thời gian Nghị quyết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3. Tòa án tiếp tục áp dụng thủ tục rút gọn theo quy định tại Điều 8 của Nghị quyết này đối với vụ án đã được thụ lý trong thời gian Nghị quyết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19. Điều khoản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Nghị quyết này có hiệu lực thi hành từ ngày 15 tháng 8 năm 2017 và được thực hiện trong thời hạn 05 năm kể từ ngày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2. Quốc hội, Ủy ban Thường vụ Quốc hội, Hội đồng Dân tộc, các Ủy ban của Quốc hội, các Đoàn đại biểu Quốc hội và đại biểu Quốc hội giám sát việc thực hiện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Chính phủ chịu trách nhiệm tổ chức thực hiện Nghị quyết này, báo cáo Quốc hội kết quả xử lý nợ xấu hằng năm, báo cáo tổng kết thực hiện Nghị quyết này tại kỳ họp Quốc hội đầu năm 2022 và đề xuất hoàn thiện hệ thống pháp luật về xử lý nợ xấu,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Tòa án nhân dân tối cao, Viện kiểm sát nhân dân tối cao có trách nhiệm tổ chức thực hiện Nghị quyết này. Tòa án nhân dân tối cao có trách nhiệm hướng dẫn áp dụng thống nhất pháp luật về giải quyết tranh chấp về xử lý nợ xấu, tài sản bảo đảm của khoản nợ xấu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5. Ngân hàng Nhà nước Việt Nam có trách nhiệm chỉ đạo, giám sát, thanh tra, kiểm tra việc thực hiện Nghị quyết này của tổ chức tín dụng, chi nhánh ngân hàng nước ngoài, tổ chức mua bán, xử lý nợ xấu; thực hiện các giải pháp để hạn chế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6. Chính quyền địa phương các cấp có trách nhiệm chỉ đạo, phối hợp với cơ quan, tổ chức có liên quan trong việc tổ chức thực hiện Nghị quyết này tại địa phương; lập phương án phân bổ nguồn vốn để thanh toán nợ đọng xây dựng cơ bản liên quan đến nợ xấu thuộc trách nhiệm chi của ngân sách địa phương.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Nghị quyết này được Quốc hội nước Cộng hòa xã hội chủ nghĩa Việt Nam khóa XIV, kỳ họp thứ 3 thông qua ngày 21 tháng 6 năm 2017.</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CHỦ TỊCH QUỐC HỘI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(đã ký)</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Nguyễn Thị Kim Ngân</w:t>
      </w:r>
    </w:p>
    <w:p w:rsidR="00ED57DB" w:rsidRPr="00ED57DB" w:rsidRDefault="00ED57DB" w:rsidP="00ED57DB">
      <w:pPr>
        <w:spacing w:before="100" w:beforeAutospacing="1" w:after="100" w:afterAutospacing="1" w:line="240" w:lineRule="auto"/>
        <w:ind w:left="4320"/>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PHỤ LỤC</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Về xác định nợ xấu</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i/>
          <w:iCs/>
          <w:sz w:val="24"/>
          <w:szCs w:val="24"/>
          <w:lang w:eastAsia="vi-VN"/>
        </w:rPr>
        <w:t>(Ban hành kèm theo Nghị quyết số 42/2017/QH14 ngày 21 tháng 6 năm 2017 của Quốc hội </w:t>
      </w:r>
      <w:r w:rsidRPr="00ED57DB">
        <w:rPr>
          <w:rFonts w:ascii="Times New Roman" w:eastAsia="Times New Roman" w:hAnsi="Times New Roman" w:cs="Times New Roman"/>
          <w:i/>
          <w:iCs/>
          <w:sz w:val="24"/>
          <w:szCs w:val="24"/>
          <w:lang w:eastAsia="vi-VN"/>
        </w:rPr>
        <w:br/>
        <w:t>Về thí điểm xử lý nợ xấu của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lastRenderedPageBreak/>
        <w:t>Điều 1. Nợ xấu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Nợ xấu quy định tại Nghị quyết này bao gồm: khoản nợ đang hạch toán trong, ngoài bảng cân đối kế toán của tổ chức tín dụng, chi nhánh ngân hàng nước ngoài và được xác định theo quy định tại các điều 2, 3, 4 và 5 của Phụ lục này; khoản nợ xấu mà tổ chức mua bán, xử lý nợ xấu đã mua của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Điều 2. Các hoạt động phát sinh nợ xấu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Cho vay.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Cho thuê tài chính.</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Chiết khấu, tái chiết khấu công cụ chuyển nhượng và giấy tờ có giá khác.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4. Bao thanh toán.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5. Cấp tín dụng dưới hình thức phát hành thẻ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6. Trả thay theo cam kết ngoại bảng.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7. Ủy thác cấp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8. Hoạt động mua, bán nợ.</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9. Hoạt động mua, ủy thác mua trái phiếu doanh nghiệp chưa niêm yết trên thị trường chứng khoán hoặc chưa đăng ký giao dịch trên thị trường giao dịch của các công ty đại chúng chưa niêm yết.</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Điều 3. Nợ xấu xác định theo phương pháp định lượng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Nợ dưới tiêu chuẩn (nhóm 3)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từ 91 ngày đến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gia hạn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được miễn, giảm lãi do khách hàng không đủ khả năng trả lãi đầy đủ theo hợp đồng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thuộc một trong các trường hợp sau đây chưa thu hồi được trong thời hạn dưới 30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đ) Nợ trong thời hạn thu hồi theo kết luận thanh tra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được tổ chức tín dụng, chi nhánh ngân hàng nước ngoài phân loại lại vào nhóm 3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phân loại vào nhóm 3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3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cơ cấu lại thời hạn trả nợ (điều chỉnh kỳ hạn trả nợ, gia hạn nợ) và giữ nguyên nhóm nợ lần đầu còn trong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 Trái phiếu doanh nghiệp đã quá hạn thanh toán gốc, lãi từ 10 ngày đến 90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Nợ nghi ngờ (nhóm 4)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từ 181 ngày đến 360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cơ cấu lại thời hạn trả nợ lần đầu quá hạn dưới 90 ngày theo thời hạn trả nợ được cơ cấu lại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cơ cấu lại thời hạn trả nợ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thuộc một trong các trường hợp sau đây chưa thu hồi được trong thời hạn từ 30 ngày đến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phải thu hồi theo kết luận thanh tra của Ngân hàng Nhà nước Việt Nam nhưng quá thời hạn thu hồi theo kết luận thanh tra đến 60 ngày mà vẫn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được tổ chức tín dụng, chi nhánh ngân hàng nước ngoài phân loại lại vào nhóm 4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phân loại vào nhóm 4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4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cơ cấu lại thời hạn trả nợ (điều chỉnh kỳ hạn trả nợ, gia hạn nợ) và giữ nguyên nhóm nợ lần đầu đã quá hạn đến 90 ngày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k) Nợ cơ cấu lại thời hạn trả nợ (điều chỉnh kỳ hạn trả nợ, gia hạn nợ) và giữ nguyên nhóm nợ lần thứ hai còn trong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l) Trái phiếu doanh nghiệp đã quá hạn thanh toán gốc, lãi từ 91 ngày đến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Nợ có khả năng mất vốn (nhóm 5)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trên 360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cơ cấu lại thời hạn trả nợ lần đầu quá hạn từ 90 ngày trở lên theo thời hạn trả nợ được cơ cấu lại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cơ cấu lại thời hạn trả nợ lần thứ hai quá hạn theo thời hạn trả nợ được cơ cấu lại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cơ cấu lại thời hạn trả nợ lần thứ ba trở lên, kể cả chưa bị quá hạn hoặc đã quá hạn;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thuộc một trong các trường hợp sau đây chưa thu hồi được trong thời hạn trên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phải thu hồi theo kết luận thanh tra của Ngân hàng Nhà nước Việt Nam nhưng quá thời hạn thu hồi trên 60 ngày mà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được tổ chức tín dụng, chi nhánh ngân hàng nước ngoài phân loại lại vào nhóm 5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5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phân loại vào nhóm 5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 Nợ cơ cấu lại thời hạn trả nợ (điều chỉnh kỳ hạn trả nợ, gia hạn nợ) và giữ nguyên nhóm nợ lần đầu đã quá hạn từ 91 ngày trở lên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l) Nợ cơ cấu lại thời hạn trả nợ (điều chỉnh kỳ hạn trả nợ, gia hạn nợ) và giữ nguyên nhóm nợ lần thứ hai quá hạn trả nợ theo thời hạn trả nợ đã được cơ cấu lại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m) Nợ cơ cấu lại thời hạn trả nợ (điều chỉnh kỳ hạn trả nợ, gia hạn nợ) và giữ nguyên nhóm nợ lần thứ ba trở lên còn trong hạn hoặc đã quá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n) Trái phiếu doanh nghiệp đã quá hạn thanh toán gốc, lãi trên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lastRenderedPageBreak/>
        <w:t>Điều 4. Nợ xấu xác định theo phương pháp định tính</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Việc xác định nợ xấu theo phương pháp định tính căn cứ vào đánh giá khả năng trả nợ của khách hàng trên cơ sở kết quả hệ thống xếp hạng tín dụng nội bộ, chính sách dự phòng rủi ro:</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Nợ dưới tiêu chuẩn (nhóm 3)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dưới 30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trong thời hạn thu hồi theo kết luận thanh tra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3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phân loại vào nhóm 3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Nợ nghi ngờ (nhóm 4)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có khả năng tổn thất cao;</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từ 30 ngày đến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phải thu hồi theo kết luận thanh tra của Ngân hàng Nhà nước Việt Nam nhưng quá thời hạn thu hồi theo kết luận thanh tra đến 60 ngày mà vẫn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4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đ) Nợ phân loại vào nhóm 4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Nợ có khả năng mất vốn (nhóm 5)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không còn khả năng thu hồi, mất vốn;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trên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phải thu hồi theo kết luận thanh tra của Ngân hàng Nhà nước Việt Nam nhưng quá thời hạn thu hồi trên 60 ngày mà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5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phân loại vào nhóm 5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 xml:space="preserve">Điều 5. Xác định nợ xấu trong trường hợp khách hàng có từ hai khoản nợ trở lên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Khách hàng có từ hai khoản nợ trở lên hình thành trước ngày 15 tháng 8 năm 2017 tại một hoặc nhiều tổ chức tín dụng, chi nhánh ngân hàng nước ngoài mà có một khoản nợ bất kỳ được xác định là nợ xấu theo quy định tại Điều 3, Điều 4 của Phụ lục này thì toàn bộ các khoản nợ còn lại cũng được xác định là nợ xấu.</w:t>
      </w:r>
    </w:p>
    <w:p w:rsidR="00ED57DB" w:rsidRDefault="00ED57DB"/>
    <w:sectPr w:rsidR="00ED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DB"/>
    <w:rsid w:val="00025E71"/>
    <w:rsid w:val="009234F2"/>
    <w:rsid w:val="00ED57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3AE0F-C6A5-463C-A499-1B8E672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7D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D57DB"/>
    <w:rPr>
      <w:b/>
      <w:bCs/>
    </w:rPr>
  </w:style>
  <w:style w:type="character" w:styleId="Emphasis">
    <w:name w:val="Emphasis"/>
    <w:basedOn w:val="DefaultParagraphFont"/>
    <w:uiPriority w:val="20"/>
    <w:qFormat/>
    <w:rsid w:val="00ED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4046">
      <w:bodyDiv w:val="1"/>
      <w:marLeft w:val="0"/>
      <w:marRight w:val="0"/>
      <w:marTop w:val="0"/>
      <w:marBottom w:val="0"/>
      <w:divBdr>
        <w:top w:val="none" w:sz="0" w:space="0" w:color="auto"/>
        <w:left w:val="none" w:sz="0" w:space="0" w:color="auto"/>
        <w:bottom w:val="none" w:sz="0" w:space="0" w:color="auto"/>
        <w:right w:val="none" w:sz="0" w:space="0" w:color="auto"/>
      </w:divBdr>
      <w:divsChild>
        <w:div w:id="162977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8FB98-B20E-406B-8CE4-8BA892C53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31D090-3017-4B62-8C76-0548D7508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536A3D-008D-4AB0-B6FE-BA2FFA584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Hoa (PC)</dc:creator>
  <cp:lastModifiedBy>admin</cp:lastModifiedBy>
  <cp:revision>1</cp:revision>
  <dcterms:created xsi:type="dcterms:W3CDTF">2017-07-19T04:08:00Z</dcterms:created>
  <dcterms:modified xsi:type="dcterms:W3CDTF">2021-01-04T08:16:00Z</dcterms:modified>
</cp:coreProperties>
</file>